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8AB2" w14:textId="77777777" w:rsidR="004646E5" w:rsidRPr="004E7D83" w:rsidRDefault="004646E5" w:rsidP="00C0343B">
      <w:pPr>
        <w:spacing w:after="0"/>
        <w:rPr>
          <w:rFonts w:asciiTheme="minorHAnsi" w:hAnsiTheme="minorHAnsi" w:cstheme="minorHAnsi"/>
          <w:sz w:val="22"/>
          <w:lang w:val="fr-BE"/>
        </w:rPr>
      </w:pPr>
    </w:p>
    <w:tbl>
      <w:tblPr>
        <w:tblW w:w="10143" w:type="dxa"/>
        <w:jc w:val="center"/>
        <w:tblLayout w:type="fixed"/>
        <w:tblCellMar>
          <w:left w:w="0" w:type="dxa"/>
          <w:right w:w="0" w:type="dxa"/>
        </w:tblCellMar>
        <w:tblLook w:val="0000" w:firstRow="0" w:lastRow="0" w:firstColumn="0" w:lastColumn="0" w:noHBand="0" w:noVBand="0"/>
      </w:tblPr>
      <w:tblGrid>
        <w:gridCol w:w="3229"/>
        <w:gridCol w:w="3686"/>
        <w:gridCol w:w="3228"/>
      </w:tblGrid>
      <w:tr w:rsidR="005B3CE0" w:rsidRPr="004E7D83" w14:paraId="20D37B9A" w14:textId="77777777" w:rsidTr="001B3FDF">
        <w:trPr>
          <w:trHeight w:val="1104"/>
          <w:jc w:val="center"/>
        </w:trPr>
        <w:tc>
          <w:tcPr>
            <w:tcW w:w="3229" w:type="dxa"/>
            <w:vAlign w:val="center"/>
          </w:tcPr>
          <w:p w14:paraId="4D4DA671" w14:textId="77777777" w:rsidR="00913900" w:rsidRPr="004E7D83" w:rsidRDefault="00913900" w:rsidP="00C0343B">
            <w:pPr>
              <w:pStyle w:val="Heading1"/>
              <w:spacing w:after="0"/>
              <w:rPr>
                <w:rFonts w:asciiTheme="minorHAnsi" w:hAnsiTheme="minorHAnsi" w:cstheme="minorHAnsi"/>
                <w:bCs w:val="0"/>
                <w:sz w:val="22"/>
                <w:szCs w:val="22"/>
                <w:lang w:val="fr-BE"/>
              </w:rPr>
            </w:pPr>
            <w:r w:rsidRPr="004E7D83">
              <w:rPr>
                <w:rFonts w:asciiTheme="minorHAnsi" w:hAnsiTheme="minorHAnsi" w:cstheme="minorHAnsi"/>
                <w:bCs w:val="0"/>
                <w:sz w:val="22"/>
                <w:szCs w:val="22"/>
                <w:lang w:val="fr-BE"/>
              </w:rPr>
              <w:t>Benelux</w:t>
            </w:r>
            <w:r w:rsidRPr="004E7D83">
              <w:rPr>
                <w:rFonts w:asciiTheme="minorHAnsi" w:hAnsiTheme="minorHAnsi" w:cstheme="minorHAnsi"/>
                <w:bCs w:val="0"/>
                <w:sz w:val="22"/>
                <w:szCs w:val="22"/>
                <w:lang w:val="fr-BE"/>
              </w:rPr>
              <w:br/>
              <w:t xml:space="preserve">Interparlementaire </w:t>
            </w:r>
            <w:proofErr w:type="spellStart"/>
            <w:r w:rsidRPr="004E7D83">
              <w:rPr>
                <w:rFonts w:asciiTheme="minorHAnsi" w:hAnsiTheme="minorHAnsi" w:cstheme="minorHAnsi"/>
                <w:bCs w:val="0"/>
                <w:sz w:val="22"/>
                <w:szCs w:val="22"/>
                <w:lang w:val="fr-BE"/>
              </w:rPr>
              <w:t>Assemblee</w:t>
            </w:r>
            <w:proofErr w:type="spellEnd"/>
          </w:p>
        </w:tc>
        <w:tc>
          <w:tcPr>
            <w:tcW w:w="3686" w:type="dxa"/>
          </w:tcPr>
          <w:p w14:paraId="36F7220E" w14:textId="65205FAB" w:rsidR="00913900" w:rsidRPr="004E7D83" w:rsidRDefault="00397719" w:rsidP="00C0343B">
            <w:pPr>
              <w:pStyle w:val="NoSpacing"/>
              <w:jc w:val="center"/>
              <w:rPr>
                <w:rFonts w:asciiTheme="minorHAnsi" w:hAnsiTheme="minorHAnsi" w:cstheme="minorHAnsi"/>
                <w:noProof/>
                <w:sz w:val="22"/>
                <w:lang w:val="fr-BE"/>
              </w:rPr>
            </w:pPr>
            <w:r w:rsidRPr="004E7D83">
              <w:rPr>
                <w:rFonts w:asciiTheme="minorHAnsi" w:hAnsiTheme="minorHAnsi" w:cstheme="minorHAnsi"/>
                <w:noProof/>
                <w:sz w:val="22"/>
                <w:lang w:val="nl-NL" w:eastAsia="nl-NL"/>
              </w:rPr>
              <w:drawing>
                <wp:inline distT="0" distB="0" distL="0" distR="0" wp14:anchorId="14671A02" wp14:editId="161CACDD">
                  <wp:extent cx="233934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990600"/>
                          </a:xfrm>
                          <a:prstGeom prst="rect">
                            <a:avLst/>
                          </a:prstGeom>
                          <a:noFill/>
                          <a:ln>
                            <a:noFill/>
                          </a:ln>
                        </pic:spPr>
                      </pic:pic>
                    </a:graphicData>
                  </a:graphic>
                </wp:inline>
              </w:drawing>
            </w:r>
          </w:p>
        </w:tc>
        <w:tc>
          <w:tcPr>
            <w:tcW w:w="3228" w:type="dxa"/>
            <w:vAlign w:val="center"/>
          </w:tcPr>
          <w:p w14:paraId="41E2473B" w14:textId="77777777" w:rsidR="00913900" w:rsidRPr="004E7D83" w:rsidRDefault="00913900" w:rsidP="00C0343B">
            <w:pPr>
              <w:pStyle w:val="Heading1"/>
              <w:spacing w:after="0"/>
              <w:rPr>
                <w:rFonts w:asciiTheme="minorHAnsi" w:hAnsiTheme="minorHAnsi" w:cstheme="minorHAnsi"/>
                <w:bCs w:val="0"/>
                <w:sz w:val="22"/>
                <w:szCs w:val="22"/>
                <w:lang w:val="fr-BE"/>
              </w:rPr>
            </w:pPr>
            <w:r w:rsidRPr="004E7D83">
              <w:rPr>
                <w:rFonts w:asciiTheme="minorHAnsi" w:hAnsiTheme="minorHAnsi" w:cstheme="minorHAnsi"/>
                <w:bCs w:val="0"/>
                <w:sz w:val="22"/>
                <w:szCs w:val="22"/>
                <w:lang w:val="fr-BE"/>
              </w:rPr>
              <w:t>Assemblée Interparlementaire</w:t>
            </w:r>
            <w:r w:rsidRPr="004E7D83">
              <w:rPr>
                <w:rFonts w:asciiTheme="minorHAnsi" w:hAnsiTheme="minorHAnsi" w:cstheme="minorHAnsi"/>
                <w:bCs w:val="0"/>
                <w:sz w:val="22"/>
                <w:szCs w:val="22"/>
                <w:lang w:val="fr-BE"/>
              </w:rPr>
              <w:br/>
              <w:t>Benelux</w:t>
            </w:r>
          </w:p>
        </w:tc>
      </w:tr>
    </w:tbl>
    <w:p w14:paraId="6C397C43" w14:textId="77777777" w:rsidR="00684E01" w:rsidRPr="004E7D83" w:rsidRDefault="00684E01" w:rsidP="00C0343B">
      <w:pPr>
        <w:spacing w:after="0"/>
        <w:rPr>
          <w:rFonts w:asciiTheme="minorHAnsi" w:hAnsiTheme="minorHAnsi" w:cstheme="minorHAnsi"/>
          <w:sz w:val="22"/>
          <w:lang w:val="fr-BE"/>
        </w:rPr>
        <w:sectPr w:rsidR="00684E01" w:rsidRPr="004E7D83" w:rsidSect="005305CD">
          <w:footerReference w:type="default" r:id="rId12"/>
          <w:footnotePr>
            <w:pos w:val="beneathText"/>
          </w:footnotePr>
          <w:pgSz w:w="11905" w:h="16837" w:code="9"/>
          <w:pgMar w:top="284" w:right="1134" w:bottom="851" w:left="1134" w:header="567" w:footer="567" w:gutter="0"/>
          <w:cols w:space="708"/>
          <w:titlePg/>
          <w:docGrid w:linePitch="326"/>
        </w:sectPr>
      </w:pPr>
    </w:p>
    <w:p w14:paraId="746114D1" w14:textId="77777777" w:rsidR="00DE2576" w:rsidRPr="004E7D83" w:rsidRDefault="00DE2576" w:rsidP="00C0343B">
      <w:pPr>
        <w:spacing w:after="0"/>
        <w:rPr>
          <w:rFonts w:asciiTheme="minorHAnsi" w:hAnsiTheme="minorHAnsi" w:cstheme="minorHAnsi"/>
          <w:sz w:val="22"/>
          <w:lang w:val="fr-BE"/>
        </w:rPr>
        <w:sectPr w:rsidR="00DE2576" w:rsidRPr="004E7D83" w:rsidSect="00CA551B">
          <w:footnotePr>
            <w:pos w:val="beneathText"/>
          </w:footnotePr>
          <w:type w:val="continuous"/>
          <w:pgSz w:w="11905" w:h="16837" w:code="9"/>
          <w:pgMar w:top="1418" w:right="1134" w:bottom="2127" w:left="1134" w:header="567" w:footer="567" w:gutter="0"/>
          <w:cols w:space="708"/>
          <w:docGrid w:linePitch="326"/>
        </w:sectPr>
      </w:pPr>
    </w:p>
    <w:p w14:paraId="0C722C9D" w14:textId="77777777" w:rsidR="0028357A" w:rsidRPr="004E7D83" w:rsidRDefault="0028357A" w:rsidP="00C0343B">
      <w:pPr>
        <w:pStyle w:val="NoSpacing"/>
        <w:rPr>
          <w:rFonts w:asciiTheme="minorHAnsi" w:hAnsiTheme="minorHAnsi" w:cstheme="minorHAnsi"/>
          <w:sz w:val="22"/>
          <w:lang w:val="nl-NL"/>
        </w:rPr>
      </w:pPr>
    </w:p>
    <w:tbl>
      <w:tblPr>
        <w:tblW w:w="0" w:type="auto"/>
        <w:tblBorders>
          <w:insideV w:val="single" w:sz="4" w:space="0" w:color="auto"/>
        </w:tblBorders>
        <w:tblLook w:val="04A0" w:firstRow="1" w:lastRow="0" w:firstColumn="1" w:lastColumn="0" w:noHBand="0" w:noVBand="1"/>
      </w:tblPr>
      <w:tblGrid>
        <w:gridCol w:w="4828"/>
        <w:gridCol w:w="4809"/>
      </w:tblGrid>
      <w:tr w:rsidR="005305CD" w:rsidRPr="005305CD" w14:paraId="740C5B3A" w14:textId="77777777" w:rsidTr="005305CD">
        <w:tc>
          <w:tcPr>
            <w:tcW w:w="4828" w:type="dxa"/>
            <w:shd w:val="clear" w:color="auto" w:fill="auto"/>
          </w:tcPr>
          <w:p w14:paraId="13264161" w14:textId="66AA5D65" w:rsidR="00ED355D" w:rsidRPr="005305CD" w:rsidRDefault="00ED355D" w:rsidP="00590A11">
            <w:pPr>
              <w:pStyle w:val="NoSpacing"/>
              <w:jc w:val="center"/>
              <w:rPr>
                <w:rFonts w:asciiTheme="minorHAnsi" w:hAnsiTheme="minorHAnsi" w:cstheme="minorHAnsi"/>
                <w:b/>
                <w:bCs/>
                <w:sz w:val="22"/>
                <w:lang w:val="nl-BE"/>
              </w:rPr>
            </w:pPr>
            <w:r w:rsidRPr="005305CD">
              <w:rPr>
                <w:rFonts w:asciiTheme="minorHAnsi" w:hAnsiTheme="minorHAnsi" w:cstheme="minorHAnsi"/>
                <w:b/>
                <w:bCs/>
                <w:sz w:val="22"/>
                <w:lang w:val="nl-BE"/>
              </w:rPr>
              <w:t>Voorstel van aanbeveling</w:t>
            </w:r>
            <w:r w:rsidRPr="005305CD">
              <w:rPr>
                <w:rFonts w:asciiTheme="minorHAnsi" w:hAnsiTheme="minorHAnsi" w:cstheme="minorHAnsi"/>
                <w:b/>
                <w:bCs/>
                <w:sz w:val="22"/>
                <w:lang w:val="nl-BE"/>
              </w:rPr>
              <w:br/>
              <w:t>met betrekking tot de</w:t>
            </w:r>
            <w:r w:rsidR="009500ED" w:rsidRPr="005305CD">
              <w:rPr>
                <w:rFonts w:asciiTheme="minorHAnsi" w:hAnsiTheme="minorHAnsi" w:cstheme="minorHAnsi"/>
                <w:b/>
                <w:bCs/>
                <w:sz w:val="22"/>
                <w:lang w:val="nl-BE"/>
              </w:rPr>
              <w:t xml:space="preserve"> </w:t>
            </w:r>
            <w:r w:rsidR="00D83A5F" w:rsidRPr="005305CD">
              <w:rPr>
                <w:rFonts w:asciiTheme="minorHAnsi" w:hAnsiTheme="minorHAnsi" w:cstheme="minorHAnsi"/>
                <w:b/>
                <w:bCs/>
                <w:sz w:val="22"/>
                <w:lang w:val="nl-BE"/>
              </w:rPr>
              <w:t xml:space="preserve">automatische en wederzijdse erkenning van </w:t>
            </w:r>
            <w:r w:rsidR="00B96CA5" w:rsidRPr="005305CD">
              <w:rPr>
                <w:rFonts w:asciiTheme="minorHAnsi" w:hAnsiTheme="minorHAnsi" w:cstheme="minorHAnsi"/>
                <w:b/>
                <w:bCs/>
                <w:sz w:val="22"/>
                <w:lang w:val="nl-BE"/>
              </w:rPr>
              <w:t>diploma’s</w:t>
            </w:r>
            <w:r w:rsidR="00D83A5F" w:rsidRPr="005305CD">
              <w:rPr>
                <w:rFonts w:asciiTheme="minorHAnsi" w:hAnsiTheme="minorHAnsi" w:cstheme="minorHAnsi"/>
                <w:b/>
                <w:bCs/>
                <w:sz w:val="22"/>
                <w:lang w:val="nl-BE"/>
              </w:rPr>
              <w:t xml:space="preserve"> en beroepskwalificaties</w:t>
            </w:r>
          </w:p>
          <w:p w14:paraId="3DA6ECE3" w14:textId="77777777" w:rsidR="00ED355D" w:rsidRPr="005305CD" w:rsidRDefault="00ED355D" w:rsidP="00590A11">
            <w:pPr>
              <w:pStyle w:val="NoSpacing"/>
              <w:jc w:val="left"/>
              <w:rPr>
                <w:rFonts w:asciiTheme="minorHAnsi" w:hAnsiTheme="minorHAnsi" w:cstheme="minorHAnsi"/>
                <w:sz w:val="22"/>
                <w:lang w:val="nl-BE"/>
              </w:rPr>
            </w:pPr>
          </w:p>
        </w:tc>
        <w:tc>
          <w:tcPr>
            <w:tcW w:w="4809" w:type="dxa"/>
            <w:shd w:val="clear" w:color="auto" w:fill="auto"/>
          </w:tcPr>
          <w:p w14:paraId="47DA9612" w14:textId="329E0EBA" w:rsidR="00ED355D" w:rsidRPr="005305CD" w:rsidRDefault="00ED355D" w:rsidP="00590A11">
            <w:pPr>
              <w:pStyle w:val="NoSpacing"/>
              <w:jc w:val="center"/>
              <w:rPr>
                <w:rFonts w:asciiTheme="minorHAnsi" w:hAnsiTheme="minorHAnsi" w:cstheme="minorHAnsi"/>
                <w:b/>
                <w:bCs/>
                <w:sz w:val="22"/>
                <w:lang w:val="fr-BE"/>
              </w:rPr>
            </w:pPr>
            <w:r w:rsidRPr="005305CD">
              <w:rPr>
                <w:rFonts w:asciiTheme="minorHAnsi" w:hAnsiTheme="minorHAnsi" w:cstheme="minorHAnsi"/>
                <w:b/>
                <w:bCs/>
                <w:sz w:val="22"/>
                <w:lang w:val="fr-BE"/>
              </w:rPr>
              <w:t>Proposition de recommandation</w:t>
            </w:r>
            <w:r w:rsidRPr="005305CD">
              <w:rPr>
                <w:rFonts w:asciiTheme="minorHAnsi" w:hAnsiTheme="minorHAnsi" w:cstheme="minorHAnsi"/>
                <w:b/>
                <w:bCs/>
                <w:sz w:val="22"/>
                <w:lang w:val="fr-BE"/>
              </w:rPr>
              <w:br/>
              <w:t xml:space="preserve">relative à </w:t>
            </w:r>
            <w:r w:rsidR="009500ED" w:rsidRPr="005305CD">
              <w:rPr>
                <w:rFonts w:asciiTheme="minorHAnsi" w:hAnsiTheme="minorHAnsi" w:cstheme="minorHAnsi"/>
                <w:b/>
                <w:bCs/>
                <w:sz w:val="22"/>
                <w:lang w:val="fr-BE"/>
              </w:rPr>
              <w:t xml:space="preserve">la </w:t>
            </w:r>
            <w:r w:rsidR="00D83A5F" w:rsidRPr="005305CD">
              <w:rPr>
                <w:rFonts w:asciiTheme="minorHAnsi" w:hAnsiTheme="minorHAnsi" w:cstheme="minorHAnsi"/>
                <w:b/>
                <w:bCs/>
                <w:sz w:val="22"/>
                <w:lang w:val="fr-BE"/>
              </w:rPr>
              <w:t>reconnaissance automatique et mutuelle</w:t>
            </w:r>
            <w:r w:rsidR="000A136E" w:rsidRPr="005305CD">
              <w:rPr>
                <w:rFonts w:asciiTheme="minorHAnsi" w:hAnsiTheme="minorHAnsi" w:cstheme="minorHAnsi"/>
                <w:b/>
                <w:bCs/>
                <w:sz w:val="22"/>
                <w:lang w:val="fr-BE"/>
              </w:rPr>
              <w:t xml:space="preserve"> des </w:t>
            </w:r>
            <w:r w:rsidR="00B96CA5" w:rsidRPr="005305CD">
              <w:rPr>
                <w:rFonts w:asciiTheme="minorHAnsi" w:hAnsiTheme="minorHAnsi" w:cstheme="minorHAnsi"/>
                <w:b/>
                <w:bCs/>
                <w:sz w:val="22"/>
                <w:lang w:val="fr-BE"/>
              </w:rPr>
              <w:t>diplômes</w:t>
            </w:r>
            <w:r w:rsidR="00D83A5F" w:rsidRPr="005305CD">
              <w:rPr>
                <w:rFonts w:asciiTheme="minorHAnsi" w:hAnsiTheme="minorHAnsi" w:cstheme="minorHAnsi"/>
                <w:b/>
                <w:bCs/>
                <w:sz w:val="22"/>
                <w:lang w:val="fr-BE"/>
              </w:rPr>
              <w:t xml:space="preserve"> et qualifications professionnelles </w:t>
            </w:r>
          </w:p>
          <w:p w14:paraId="27BC0B5B" w14:textId="77777777" w:rsidR="00ED355D" w:rsidRPr="005305CD" w:rsidRDefault="00ED355D" w:rsidP="00590A11">
            <w:pPr>
              <w:pStyle w:val="NoSpacing"/>
              <w:jc w:val="left"/>
              <w:rPr>
                <w:rFonts w:asciiTheme="minorHAnsi" w:hAnsiTheme="minorHAnsi" w:cstheme="minorHAnsi"/>
                <w:sz w:val="22"/>
                <w:lang w:val="fr-BE"/>
              </w:rPr>
            </w:pPr>
          </w:p>
        </w:tc>
      </w:tr>
      <w:tr w:rsidR="005305CD" w:rsidRPr="005305CD" w14:paraId="4CAA3E22" w14:textId="77777777" w:rsidTr="005305CD">
        <w:tc>
          <w:tcPr>
            <w:tcW w:w="4828" w:type="dxa"/>
            <w:shd w:val="clear" w:color="auto" w:fill="auto"/>
          </w:tcPr>
          <w:p w14:paraId="1914B09E" w14:textId="77777777" w:rsidR="00ED355D" w:rsidRPr="005305CD" w:rsidRDefault="00ED355D" w:rsidP="00590A11">
            <w:pPr>
              <w:pStyle w:val="NoSpacing"/>
              <w:jc w:val="left"/>
              <w:rPr>
                <w:rFonts w:asciiTheme="minorHAnsi" w:hAnsiTheme="minorHAnsi" w:cstheme="minorHAnsi"/>
                <w:sz w:val="22"/>
                <w:lang w:val="nl-BE"/>
              </w:rPr>
            </w:pPr>
            <w:r w:rsidRPr="005305CD">
              <w:rPr>
                <w:rFonts w:asciiTheme="minorHAnsi" w:hAnsiTheme="minorHAnsi" w:cstheme="minorHAnsi"/>
                <w:sz w:val="22"/>
                <w:lang w:val="nl-BE"/>
              </w:rPr>
              <w:t>De Assemblee,</w:t>
            </w:r>
          </w:p>
          <w:p w14:paraId="49C84A48" w14:textId="77777777" w:rsidR="00ED355D" w:rsidRPr="005305CD" w:rsidRDefault="00ED355D" w:rsidP="00590A11">
            <w:pPr>
              <w:pStyle w:val="NoSpacing"/>
              <w:jc w:val="left"/>
              <w:rPr>
                <w:rFonts w:asciiTheme="minorHAnsi" w:hAnsiTheme="minorHAnsi" w:cstheme="minorHAnsi"/>
                <w:sz w:val="22"/>
                <w:lang w:val="fr-FR"/>
              </w:rPr>
            </w:pPr>
          </w:p>
        </w:tc>
        <w:tc>
          <w:tcPr>
            <w:tcW w:w="4809" w:type="dxa"/>
            <w:shd w:val="clear" w:color="auto" w:fill="auto"/>
          </w:tcPr>
          <w:p w14:paraId="23D67E6E" w14:textId="77777777" w:rsidR="00ED355D" w:rsidRPr="005305CD" w:rsidRDefault="00ED355D" w:rsidP="00590A11">
            <w:pPr>
              <w:pStyle w:val="NoSpacing"/>
              <w:jc w:val="left"/>
              <w:rPr>
                <w:rFonts w:asciiTheme="minorHAnsi" w:hAnsiTheme="minorHAnsi" w:cstheme="minorHAnsi"/>
                <w:sz w:val="22"/>
                <w:lang w:val="fr-BE"/>
              </w:rPr>
            </w:pPr>
            <w:r w:rsidRPr="005305CD">
              <w:rPr>
                <w:rFonts w:asciiTheme="minorHAnsi" w:hAnsiTheme="minorHAnsi" w:cstheme="minorHAnsi"/>
                <w:sz w:val="22"/>
                <w:lang w:val="fr-BE"/>
              </w:rPr>
              <w:t>L’Assemblée,</w:t>
            </w:r>
          </w:p>
          <w:p w14:paraId="76BD065E" w14:textId="77777777" w:rsidR="00ED355D" w:rsidRPr="005305CD" w:rsidRDefault="00ED355D" w:rsidP="00590A11">
            <w:pPr>
              <w:pStyle w:val="NoSpacing"/>
              <w:jc w:val="left"/>
              <w:rPr>
                <w:rFonts w:asciiTheme="minorHAnsi" w:hAnsiTheme="minorHAnsi" w:cstheme="minorHAnsi"/>
                <w:sz w:val="22"/>
                <w:lang w:val="fr-FR"/>
              </w:rPr>
            </w:pPr>
          </w:p>
        </w:tc>
      </w:tr>
      <w:tr w:rsidR="005305CD" w:rsidRPr="005305CD" w14:paraId="5756E087" w14:textId="77777777" w:rsidTr="005305CD">
        <w:tc>
          <w:tcPr>
            <w:tcW w:w="4828" w:type="dxa"/>
            <w:shd w:val="clear" w:color="auto" w:fill="auto"/>
          </w:tcPr>
          <w:p w14:paraId="3A1E6D1A" w14:textId="77777777" w:rsidR="00ED355D" w:rsidRPr="005305CD" w:rsidRDefault="00ED355D" w:rsidP="00590A11">
            <w:pPr>
              <w:pStyle w:val="NoSpacing"/>
              <w:jc w:val="left"/>
              <w:rPr>
                <w:rFonts w:asciiTheme="minorHAnsi" w:hAnsiTheme="minorHAnsi" w:cstheme="minorHAnsi"/>
                <w:b/>
                <w:bCs/>
                <w:sz w:val="22"/>
                <w:lang w:val="fr-FR"/>
              </w:rPr>
            </w:pPr>
            <w:r w:rsidRPr="005305CD">
              <w:rPr>
                <w:rFonts w:asciiTheme="minorHAnsi" w:hAnsiTheme="minorHAnsi" w:cstheme="minorHAnsi"/>
                <w:b/>
                <w:bCs/>
                <w:sz w:val="22"/>
                <w:lang w:val="nl-BE"/>
              </w:rPr>
              <w:t>GELET OP:</w:t>
            </w:r>
          </w:p>
        </w:tc>
        <w:tc>
          <w:tcPr>
            <w:tcW w:w="4809" w:type="dxa"/>
            <w:shd w:val="clear" w:color="auto" w:fill="auto"/>
          </w:tcPr>
          <w:p w14:paraId="3C4C549D" w14:textId="79CDA91C" w:rsidR="00ED355D" w:rsidRPr="005305CD" w:rsidRDefault="00ED355D" w:rsidP="00590A11">
            <w:pPr>
              <w:pStyle w:val="NoSpacing"/>
              <w:jc w:val="left"/>
              <w:rPr>
                <w:rFonts w:asciiTheme="minorHAnsi" w:hAnsiTheme="minorHAnsi" w:cstheme="minorHAnsi"/>
                <w:b/>
                <w:bCs/>
                <w:sz w:val="22"/>
                <w:lang w:val="fr-FR"/>
              </w:rPr>
            </w:pPr>
            <w:r w:rsidRPr="005305CD">
              <w:rPr>
                <w:rFonts w:asciiTheme="minorHAnsi" w:hAnsiTheme="minorHAnsi" w:cstheme="minorHAnsi"/>
                <w:b/>
                <w:bCs/>
                <w:sz w:val="22"/>
                <w:lang w:val="fr-BE"/>
              </w:rPr>
              <w:t>VU</w:t>
            </w:r>
            <w:r w:rsidR="00E9747F" w:rsidRPr="005305CD">
              <w:rPr>
                <w:rFonts w:asciiTheme="minorHAnsi" w:hAnsiTheme="minorHAnsi" w:cstheme="minorHAnsi"/>
                <w:b/>
                <w:bCs/>
                <w:sz w:val="22"/>
                <w:lang w:val="fr-BE"/>
              </w:rPr>
              <w:t xml:space="preserve"> </w:t>
            </w:r>
            <w:r w:rsidRPr="005305CD">
              <w:rPr>
                <w:rFonts w:asciiTheme="minorHAnsi" w:hAnsiTheme="minorHAnsi" w:cstheme="minorHAnsi"/>
                <w:b/>
                <w:bCs/>
                <w:sz w:val="22"/>
                <w:lang w:val="fr-BE"/>
              </w:rPr>
              <w:t>:</w:t>
            </w:r>
          </w:p>
        </w:tc>
      </w:tr>
      <w:tr w:rsidR="005305CD" w:rsidRPr="005305CD" w14:paraId="53048837" w14:textId="77777777" w:rsidTr="005305CD">
        <w:tc>
          <w:tcPr>
            <w:tcW w:w="4828" w:type="dxa"/>
            <w:shd w:val="clear" w:color="auto" w:fill="auto"/>
          </w:tcPr>
          <w:p w14:paraId="3AF07E8C" w14:textId="77777777" w:rsidR="00290503" w:rsidRPr="005305CD" w:rsidRDefault="00290503" w:rsidP="00590A11">
            <w:pPr>
              <w:pStyle w:val="NoSpacing"/>
              <w:jc w:val="left"/>
              <w:rPr>
                <w:rFonts w:asciiTheme="minorHAnsi" w:hAnsiTheme="minorHAnsi" w:cstheme="minorHAnsi"/>
                <w:sz w:val="22"/>
                <w:lang w:val="nl-BE"/>
              </w:rPr>
            </w:pPr>
          </w:p>
        </w:tc>
        <w:tc>
          <w:tcPr>
            <w:tcW w:w="4809" w:type="dxa"/>
            <w:shd w:val="clear" w:color="auto" w:fill="auto"/>
          </w:tcPr>
          <w:p w14:paraId="3733A317" w14:textId="77777777" w:rsidR="00290503" w:rsidRPr="005305CD" w:rsidRDefault="00290503" w:rsidP="00590A11">
            <w:pPr>
              <w:pStyle w:val="NoSpacing"/>
              <w:jc w:val="left"/>
              <w:rPr>
                <w:rFonts w:asciiTheme="minorHAnsi" w:hAnsiTheme="minorHAnsi" w:cstheme="minorHAnsi"/>
                <w:sz w:val="22"/>
                <w:lang w:val="fr-BE"/>
              </w:rPr>
            </w:pPr>
          </w:p>
        </w:tc>
      </w:tr>
      <w:tr w:rsidR="005305CD" w:rsidRPr="005305CD" w14:paraId="6433B47F" w14:textId="77777777" w:rsidTr="005305CD">
        <w:tc>
          <w:tcPr>
            <w:tcW w:w="4828" w:type="dxa"/>
            <w:shd w:val="clear" w:color="auto" w:fill="auto"/>
          </w:tcPr>
          <w:p w14:paraId="06B3947D" w14:textId="5D218CA1" w:rsidR="000343DC" w:rsidRPr="005305CD" w:rsidRDefault="000343DC"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Artikel </w:t>
            </w:r>
            <w:r w:rsidR="00B96CA5" w:rsidRPr="005305CD">
              <w:rPr>
                <w:rFonts w:asciiTheme="minorHAnsi" w:hAnsiTheme="minorHAnsi" w:cstheme="minorHAnsi"/>
                <w:sz w:val="22"/>
                <w:lang w:val="nl-BE"/>
              </w:rPr>
              <w:t xml:space="preserve">350 </w:t>
            </w:r>
            <w:r w:rsidRPr="005305CD">
              <w:rPr>
                <w:rFonts w:asciiTheme="minorHAnsi" w:hAnsiTheme="minorHAnsi" w:cstheme="minorHAnsi"/>
                <w:sz w:val="22"/>
                <w:lang w:val="nl-BE"/>
              </w:rPr>
              <w:t>van het Verdrag betreffende de werking van de Europese Unie;</w:t>
            </w:r>
          </w:p>
        </w:tc>
        <w:tc>
          <w:tcPr>
            <w:tcW w:w="4809" w:type="dxa"/>
            <w:shd w:val="clear" w:color="auto" w:fill="auto"/>
          </w:tcPr>
          <w:p w14:paraId="325439A1" w14:textId="603560CE" w:rsidR="000343DC" w:rsidRPr="005305CD" w:rsidRDefault="000343DC"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BE"/>
              </w:rPr>
              <w:t>L'</w:t>
            </w:r>
            <w:r w:rsidR="00D6185C" w:rsidRPr="005305CD">
              <w:rPr>
                <w:rFonts w:asciiTheme="minorHAnsi" w:hAnsiTheme="minorHAnsi" w:cstheme="minorHAnsi"/>
                <w:sz w:val="22"/>
                <w:lang w:val="fr-BE"/>
              </w:rPr>
              <w:t>a</w:t>
            </w:r>
            <w:r w:rsidRPr="005305CD">
              <w:rPr>
                <w:rFonts w:asciiTheme="minorHAnsi" w:hAnsiTheme="minorHAnsi" w:cstheme="minorHAnsi"/>
                <w:sz w:val="22"/>
                <w:lang w:val="fr-BE"/>
              </w:rPr>
              <w:t xml:space="preserve">rticle </w:t>
            </w:r>
            <w:r w:rsidR="00B96CA5" w:rsidRPr="005305CD">
              <w:rPr>
                <w:rFonts w:asciiTheme="minorHAnsi" w:hAnsiTheme="minorHAnsi" w:cstheme="minorHAnsi"/>
                <w:sz w:val="22"/>
                <w:lang w:val="fr-BE"/>
              </w:rPr>
              <w:t>350</w:t>
            </w:r>
            <w:r w:rsidRPr="005305CD">
              <w:rPr>
                <w:rFonts w:asciiTheme="minorHAnsi" w:hAnsiTheme="minorHAnsi" w:cstheme="minorHAnsi"/>
                <w:sz w:val="22"/>
                <w:lang w:val="fr-BE"/>
              </w:rPr>
              <w:t xml:space="preserve"> du Traité sur le fonctionnement de l’Union européenne ; </w:t>
            </w:r>
          </w:p>
        </w:tc>
      </w:tr>
      <w:tr w:rsidR="005305CD" w:rsidRPr="005305CD" w14:paraId="092E6FB6" w14:textId="77777777" w:rsidTr="005305CD">
        <w:tc>
          <w:tcPr>
            <w:tcW w:w="4828" w:type="dxa"/>
            <w:shd w:val="clear" w:color="auto" w:fill="auto"/>
          </w:tcPr>
          <w:p w14:paraId="34C82449" w14:textId="1FFEA184" w:rsidR="000343DC" w:rsidRPr="005305CD" w:rsidRDefault="003F4B93" w:rsidP="00170138">
            <w:pPr>
              <w:pStyle w:val="NoSpacing"/>
              <w:numPr>
                <w:ilvl w:val="0"/>
                <w:numId w:val="17"/>
              </w:numPr>
              <w:ind w:left="314"/>
              <w:rPr>
                <w:rFonts w:asciiTheme="minorHAnsi" w:hAnsiTheme="minorHAnsi" w:cstheme="minorHAnsi"/>
                <w:sz w:val="22"/>
                <w:lang w:val="nl-BE"/>
              </w:rPr>
            </w:pPr>
            <w:r w:rsidRPr="005305CD">
              <w:rPr>
                <w:rFonts w:asciiTheme="minorHAnsi" w:hAnsiTheme="minorHAnsi" w:cstheme="minorHAnsi"/>
                <w:sz w:val="22"/>
                <w:lang w:val="nl-BE"/>
              </w:rPr>
              <w:t>Het Verdrag van de Raad van Europa en UNESCO van 11 april 1997 betreffende de erkenning van diploma's hoger onderwijs in de Europese regio</w:t>
            </w:r>
            <w:r w:rsidR="00B96CA5" w:rsidRPr="005305CD">
              <w:rPr>
                <w:rFonts w:asciiTheme="minorHAnsi" w:hAnsiTheme="minorHAnsi" w:cstheme="minorHAnsi"/>
                <w:sz w:val="22"/>
                <w:lang w:val="nl-BE"/>
              </w:rPr>
              <w:t>;</w:t>
            </w:r>
          </w:p>
        </w:tc>
        <w:tc>
          <w:tcPr>
            <w:tcW w:w="4809" w:type="dxa"/>
            <w:shd w:val="clear" w:color="auto" w:fill="auto"/>
          </w:tcPr>
          <w:p w14:paraId="7D24D5E3" w14:textId="69313657" w:rsidR="000343DC" w:rsidRPr="005305CD" w:rsidRDefault="00B96CA5"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 xml:space="preserve">La </w:t>
            </w:r>
            <w:r w:rsidR="003F4B93" w:rsidRPr="005305CD">
              <w:rPr>
                <w:rFonts w:asciiTheme="minorHAnsi" w:hAnsiTheme="minorHAnsi" w:cstheme="minorHAnsi"/>
                <w:sz w:val="22"/>
                <w:lang w:val="fr-FR"/>
              </w:rPr>
              <w:t>Convention du Conseil de l'Europe et de l'UNESCO du 11 avril 1997 sur la reconnaissance des qualifications relatives à l'enseignement supérieur dans la région européenne</w:t>
            </w:r>
            <w:r w:rsidRPr="005305CD">
              <w:rPr>
                <w:rFonts w:asciiTheme="minorHAnsi" w:hAnsiTheme="minorHAnsi" w:cstheme="minorHAnsi"/>
                <w:sz w:val="22"/>
                <w:lang w:val="fr-FR"/>
              </w:rPr>
              <w:t> ;</w:t>
            </w:r>
          </w:p>
        </w:tc>
      </w:tr>
      <w:tr w:rsidR="005305CD" w:rsidRPr="005305CD" w14:paraId="3028A750" w14:textId="77777777" w:rsidTr="005305CD">
        <w:tc>
          <w:tcPr>
            <w:tcW w:w="4828" w:type="dxa"/>
            <w:shd w:val="clear" w:color="auto" w:fill="auto"/>
          </w:tcPr>
          <w:p w14:paraId="40D5C1A2" w14:textId="06870CBD" w:rsidR="00C92A76" w:rsidRPr="005305CD" w:rsidRDefault="00DC0D9D"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De Richtlijn 2005/36/EG van het Europees Parlement en de Raad van 7 september 2005 betreffende de erkenning van beroepskwalificaties, zoals gewijzigd door de Richtlijn 2013/55/EU van het Europees Parlement en de Raad van 20 november 2013</w:t>
            </w:r>
            <w:r w:rsidR="00B96CA5" w:rsidRPr="005305CD">
              <w:rPr>
                <w:rFonts w:asciiTheme="minorHAnsi" w:hAnsiTheme="minorHAnsi" w:cstheme="minorHAnsi"/>
                <w:sz w:val="22"/>
                <w:lang w:val="nl-BE"/>
              </w:rPr>
              <w:t>;</w:t>
            </w:r>
          </w:p>
        </w:tc>
        <w:tc>
          <w:tcPr>
            <w:tcW w:w="4809" w:type="dxa"/>
            <w:shd w:val="clear" w:color="auto" w:fill="auto"/>
          </w:tcPr>
          <w:p w14:paraId="63723A04" w14:textId="1C04503D" w:rsidR="00B96CA5" w:rsidRPr="005305CD" w:rsidRDefault="00DC0D9D"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 xml:space="preserve">La </w:t>
            </w:r>
            <w:r w:rsidR="00D03ED5" w:rsidRPr="005305CD">
              <w:rPr>
                <w:rFonts w:asciiTheme="minorHAnsi" w:hAnsiTheme="minorHAnsi" w:cstheme="minorHAnsi"/>
                <w:sz w:val="22"/>
                <w:lang w:val="fr-FR"/>
              </w:rPr>
              <w:t>D</w:t>
            </w:r>
            <w:r w:rsidRPr="005305CD">
              <w:rPr>
                <w:rFonts w:asciiTheme="minorHAnsi" w:hAnsiTheme="minorHAnsi" w:cstheme="minorHAnsi"/>
                <w:sz w:val="22"/>
                <w:lang w:val="fr-FR"/>
              </w:rPr>
              <w:t xml:space="preserve">irective 2005/36/CE du Parlement européen et du Conseil du 7 septembre 2005 relative à la reconnaissance des qualifications professionnelles, telle que modifiée par la </w:t>
            </w:r>
            <w:r w:rsidR="0086756D" w:rsidRPr="005305CD">
              <w:rPr>
                <w:rFonts w:asciiTheme="minorHAnsi" w:hAnsiTheme="minorHAnsi" w:cstheme="minorHAnsi"/>
                <w:sz w:val="22"/>
                <w:lang w:val="fr-FR"/>
              </w:rPr>
              <w:t>d</w:t>
            </w:r>
            <w:r w:rsidRPr="005305CD">
              <w:rPr>
                <w:rFonts w:asciiTheme="minorHAnsi" w:hAnsiTheme="minorHAnsi" w:cstheme="minorHAnsi"/>
                <w:sz w:val="22"/>
                <w:lang w:val="fr-FR"/>
              </w:rPr>
              <w:t>irective 2013/55/UE du Parlement européen et du Conseil du 20 novembre 2013</w:t>
            </w:r>
            <w:r w:rsidR="00B96CA5" w:rsidRPr="005305CD">
              <w:rPr>
                <w:rFonts w:asciiTheme="minorHAnsi" w:hAnsiTheme="minorHAnsi" w:cstheme="minorHAnsi"/>
                <w:sz w:val="22"/>
                <w:lang w:val="fr-FR"/>
              </w:rPr>
              <w:t> ;</w:t>
            </w:r>
          </w:p>
        </w:tc>
      </w:tr>
      <w:tr w:rsidR="005305CD" w:rsidRPr="005305CD" w14:paraId="78411AA6" w14:textId="77777777" w:rsidTr="005305CD">
        <w:tc>
          <w:tcPr>
            <w:tcW w:w="4828" w:type="dxa"/>
            <w:shd w:val="clear" w:color="auto" w:fill="auto"/>
          </w:tcPr>
          <w:p w14:paraId="1D54998C" w14:textId="5193588A" w:rsidR="00B96CA5" w:rsidRPr="005305CD" w:rsidRDefault="00B96CA5"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Richtlijn 2018/958/EU van het Europees Parlement en de Raad van 28 juni </w:t>
            </w:r>
            <w:r w:rsidRPr="005305CD">
              <w:rPr>
                <w:rFonts w:asciiTheme="minorHAnsi" w:hAnsiTheme="minorHAnsi" w:cstheme="minorHAnsi"/>
                <w:sz w:val="22"/>
                <w:lang w:val="nl-NL"/>
              </w:rPr>
              <w:t>2018 betreffende een evenredigheidsbeoordeling voorafgaand aan een nieuwe reglementering van beroepen ;</w:t>
            </w:r>
          </w:p>
          <w:p w14:paraId="687FCF92" w14:textId="6E163FBB" w:rsidR="001E0D10" w:rsidRPr="005305CD" w:rsidRDefault="001E0D10"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w:t>
            </w:r>
            <w:r w:rsidR="005E2348" w:rsidRPr="005305CD">
              <w:rPr>
                <w:rFonts w:asciiTheme="minorHAnsi" w:hAnsiTheme="minorHAnsi" w:cstheme="minorHAnsi"/>
                <w:sz w:val="22"/>
                <w:lang w:val="nl-BE"/>
              </w:rPr>
              <w:t>A</w:t>
            </w:r>
            <w:r w:rsidRPr="005305CD">
              <w:rPr>
                <w:rFonts w:asciiTheme="minorHAnsi" w:hAnsiTheme="minorHAnsi" w:cstheme="minorHAnsi"/>
                <w:sz w:val="22"/>
                <w:lang w:val="nl-BE"/>
              </w:rPr>
              <w:t xml:space="preserve">anbeveling nr. 858/1 van de Raadgevende Interparlementaire </w:t>
            </w:r>
            <w:proofErr w:type="spellStart"/>
            <w:r w:rsidRPr="005305CD">
              <w:rPr>
                <w:rFonts w:asciiTheme="minorHAnsi" w:hAnsiTheme="minorHAnsi" w:cstheme="minorHAnsi"/>
                <w:sz w:val="22"/>
                <w:lang w:val="nl-BE"/>
              </w:rPr>
              <w:t>Beneluxraad</w:t>
            </w:r>
            <w:proofErr w:type="spellEnd"/>
            <w:r w:rsidRPr="005305CD">
              <w:rPr>
                <w:rFonts w:asciiTheme="minorHAnsi" w:hAnsiTheme="minorHAnsi" w:cstheme="minorHAnsi"/>
                <w:sz w:val="22"/>
                <w:lang w:val="nl-BE"/>
              </w:rPr>
              <w:t xml:space="preserve"> over de meeneembaarheid van diploma’s en beroepskwalificaties in de Benelux, aangenomen tijdens de plenaire vergadering van 20 juni 2014;</w:t>
            </w:r>
          </w:p>
        </w:tc>
        <w:tc>
          <w:tcPr>
            <w:tcW w:w="4809" w:type="dxa"/>
            <w:shd w:val="clear" w:color="auto" w:fill="auto"/>
          </w:tcPr>
          <w:p w14:paraId="0842CAC3" w14:textId="125C5CC1" w:rsidR="00B96CA5" w:rsidRPr="005305CD" w:rsidRDefault="00B96CA5"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Bidi"/>
                <w:sz w:val="22"/>
                <w:lang w:val="fr-FR"/>
              </w:rPr>
              <w:t xml:space="preserve">La </w:t>
            </w:r>
            <w:r w:rsidR="00D03ED5" w:rsidRPr="005305CD">
              <w:rPr>
                <w:rFonts w:asciiTheme="minorHAnsi" w:hAnsiTheme="minorHAnsi" w:cstheme="minorBidi"/>
                <w:sz w:val="22"/>
                <w:lang w:val="fr-FR"/>
              </w:rPr>
              <w:t>D</w:t>
            </w:r>
            <w:r w:rsidRPr="005305CD">
              <w:rPr>
                <w:rFonts w:asciiTheme="minorHAnsi" w:hAnsiTheme="minorHAnsi" w:cstheme="minorBidi"/>
                <w:sz w:val="22"/>
                <w:lang w:val="fr-FR"/>
              </w:rPr>
              <w:t xml:space="preserve">irective 2018/958/CE du Parlement européen et du Conseil du 28 juin 2018 </w:t>
            </w:r>
            <w:r w:rsidRPr="005305CD">
              <w:rPr>
                <w:rFonts w:asciiTheme="minorHAnsi" w:hAnsiTheme="minorHAnsi" w:cstheme="minorBidi"/>
                <w:sz w:val="22"/>
                <w:lang w:val="fr-BE"/>
              </w:rPr>
              <w:t>relative à un contrôle de proportionnalité avant l’adoption d’une nouvelle réglementation de professions ;</w:t>
            </w:r>
          </w:p>
          <w:p w14:paraId="0A4AF261" w14:textId="682C506B" w:rsidR="001E0D10" w:rsidRPr="005305CD" w:rsidRDefault="001E0D10"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BE"/>
              </w:rPr>
              <w:t xml:space="preserve">La </w:t>
            </w:r>
            <w:r w:rsidR="00D03ED5" w:rsidRPr="005305CD">
              <w:rPr>
                <w:rFonts w:asciiTheme="minorHAnsi" w:hAnsiTheme="minorHAnsi" w:cstheme="minorHAnsi"/>
                <w:sz w:val="22"/>
                <w:lang w:val="fr-BE"/>
              </w:rPr>
              <w:t>R</w:t>
            </w:r>
            <w:r w:rsidRPr="005305CD">
              <w:rPr>
                <w:rFonts w:asciiTheme="minorHAnsi" w:hAnsiTheme="minorHAnsi" w:cstheme="minorHAnsi"/>
                <w:sz w:val="22"/>
                <w:lang w:val="fr-BE"/>
              </w:rPr>
              <w:t xml:space="preserve">ecommandation n° </w:t>
            </w:r>
            <w:r w:rsidR="00B96CA5" w:rsidRPr="005305CD">
              <w:rPr>
                <w:rFonts w:asciiTheme="minorHAnsi" w:hAnsiTheme="minorHAnsi" w:cstheme="minorHAnsi"/>
                <w:sz w:val="22"/>
                <w:lang w:val="fr-BE"/>
              </w:rPr>
              <w:t>8</w:t>
            </w:r>
            <w:r w:rsidRPr="005305CD">
              <w:rPr>
                <w:rFonts w:asciiTheme="minorHAnsi" w:hAnsiTheme="minorHAnsi" w:cstheme="minorHAnsi"/>
                <w:sz w:val="22"/>
                <w:lang w:val="fr-BE"/>
              </w:rPr>
              <w:t>58/1 du Conseil Interparlementaire Consultatif de Benelux sur la portabilité des diplômes et des compétences professionnelles dans le Benelux, adoptée lors de la séance plénière du 20 juin 2014 ;</w:t>
            </w:r>
          </w:p>
        </w:tc>
      </w:tr>
      <w:tr w:rsidR="005305CD" w:rsidRPr="005305CD" w14:paraId="26796020" w14:textId="77777777" w:rsidTr="005305CD">
        <w:tc>
          <w:tcPr>
            <w:tcW w:w="4828" w:type="dxa"/>
            <w:shd w:val="clear" w:color="auto" w:fill="auto"/>
          </w:tcPr>
          <w:p w14:paraId="13601E22" w14:textId="05A53364" w:rsidR="001E0D10" w:rsidRPr="005305CD" w:rsidRDefault="001E0D10"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w:t>
            </w:r>
            <w:r w:rsidR="005E2348" w:rsidRPr="005305CD">
              <w:rPr>
                <w:rFonts w:asciiTheme="minorHAnsi" w:hAnsiTheme="minorHAnsi" w:cstheme="minorHAnsi"/>
                <w:sz w:val="22"/>
                <w:lang w:val="nl-BE"/>
              </w:rPr>
              <w:t>A</w:t>
            </w:r>
            <w:r w:rsidRPr="005305CD">
              <w:rPr>
                <w:rFonts w:asciiTheme="minorHAnsi" w:hAnsiTheme="minorHAnsi" w:cstheme="minorHAnsi"/>
                <w:sz w:val="22"/>
                <w:lang w:val="nl-BE"/>
              </w:rPr>
              <w:t xml:space="preserve">anbeveling M (2014) 17 van </w:t>
            </w:r>
            <w:r w:rsidR="00217479" w:rsidRPr="005305CD">
              <w:rPr>
                <w:rFonts w:asciiTheme="minorHAnsi" w:hAnsiTheme="minorHAnsi" w:cstheme="minorHAnsi"/>
                <w:sz w:val="22"/>
                <w:lang w:val="nl-BE"/>
              </w:rPr>
              <w:t xml:space="preserve">11 december 2014 van </w:t>
            </w:r>
            <w:r w:rsidRPr="005305CD">
              <w:rPr>
                <w:rFonts w:asciiTheme="minorHAnsi" w:hAnsiTheme="minorHAnsi" w:cstheme="minorHAnsi"/>
                <w:sz w:val="22"/>
                <w:lang w:val="nl-BE"/>
              </w:rPr>
              <w:t>het Benelux Comité van Ministers inzake grensoverschrijdende arbeidsmobiliteit;</w:t>
            </w:r>
          </w:p>
        </w:tc>
        <w:tc>
          <w:tcPr>
            <w:tcW w:w="4809" w:type="dxa"/>
            <w:shd w:val="clear" w:color="auto" w:fill="auto"/>
          </w:tcPr>
          <w:p w14:paraId="6970C66E" w14:textId="72E16132" w:rsidR="001E0D10" w:rsidRPr="005305CD" w:rsidRDefault="001E0D10"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BE"/>
              </w:rPr>
              <w:t xml:space="preserve">La </w:t>
            </w:r>
            <w:r w:rsidR="00D03ED5" w:rsidRPr="005305CD">
              <w:rPr>
                <w:rFonts w:asciiTheme="minorHAnsi" w:hAnsiTheme="minorHAnsi" w:cstheme="minorHAnsi"/>
                <w:sz w:val="22"/>
                <w:lang w:val="fr-BE"/>
              </w:rPr>
              <w:t>R</w:t>
            </w:r>
            <w:r w:rsidRPr="005305CD">
              <w:rPr>
                <w:rFonts w:asciiTheme="minorHAnsi" w:hAnsiTheme="minorHAnsi" w:cstheme="minorHAnsi"/>
                <w:sz w:val="22"/>
                <w:lang w:val="fr-BE"/>
              </w:rPr>
              <w:t xml:space="preserve">ecommandation M (2014) 17 </w:t>
            </w:r>
            <w:r w:rsidR="00217479" w:rsidRPr="005305CD">
              <w:rPr>
                <w:rFonts w:asciiTheme="minorHAnsi" w:hAnsiTheme="minorHAnsi" w:cstheme="minorHAnsi"/>
                <w:sz w:val="22"/>
                <w:lang w:val="fr-BE"/>
              </w:rPr>
              <w:t xml:space="preserve">du 11 décembre 2014 </w:t>
            </w:r>
            <w:r w:rsidRPr="005305CD">
              <w:rPr>
                <w:rFonts w:asciiTheme="minorHAnsi" w:hAnsiTheme="minorHAnsi" w:cstheme="minorHAnsi"/>
                <w:sz w:val="22"/>
                <w:lang w:val="fr-BE"/>
              </w:rPr>
              <w:t>du Comité de Ministres Benelux sur la mobilité transfrontalière des travailleurs ;</w:t>
            </w:r>
          </w:p>
        </w:tc>
      </w:tr>
      <w:tr w:rsidR="005305CD" w:rsidRPr="005305CD" w14:paraId="717CDBB2" w14:textId="77777777" w:rsidTr="005305CD">
        <w:tc>
          <w:tcPr>
            <w:tcW w:w="4828" w:type="dxa"/>
            <w:shd w:val="clear" w:color="auto" w:fill="auto"/>
          </w:tcPr>
          <w:p w14:paraId="60EC9560" w14:textId="303A0154" w:rsidR="00A6665F" w:rsidRPr="005305CD" w:rsidRDefault="00A6665F"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De Aanbeveling nr. 894/2 van het Benelux Parlement van 24 maart 2018 betreffende de erkenning van beroepskwalificaties in de Benelux;</w:t>
            </w:r>
          </w:p>
        </w:tc>
        <w:tc>
          <w:tcPr>
            <w:tcW w:w="4809" w:type="dxa"/>
            <w:shd w:val="clear" w:color="auto" w:fill="auto"/>
          </w:tcPr>
          <w:p w14:paraId="6F2B76E3" w14:textId="3190FBBB" w:rsidR="00A6665F" w:rsidRPr="005305CD" w:rsidRDefault="00A6665F" w:rsidP="00170138">
            <w:pPr>
              <w:pStyle w:val="NoSpacing"/>
              <w:numPr>
                <w:ilvl w:val="0"/>
                <w:numId w:val="17"/>
              </w:numPr>
              <w:ind w:left="313"/>
              <w:rPr>
                <w:rFonts w:asciiTheme="minorHAnsi" w:hAnsiTheme="minorHAnsi" w:cstheme="minorHAnsi"/>
                <w:sz w:val="22"/>
                <w:lang w:val="fr-BE"/>
              </w:rPr>
            </w:pPr>
            <w:r w:rsidRPr="005305CD">
              <w:rPr>
                <w:rFonts w:asciiTheme="minorHAnsi" w:hAnsiTheme="minorHAnsi" w:cstheme="minorHAnsi"/>
                <w:sz w:val="22"/>
                <w:lang w:val="fr-FR"/>
              </w:rPr>
              <w:t xml:space="preserve">La </w:t>
            </w:r>
            <w:r w:rsidR="00D03ED5" w:rsidRPr="005305CD">
              <w:rPr>
                <w:rFonts w:asciiTheme="minorHAnsi" w:hAnsiTheme="minorHAnsi" w:cstheme="minorHAnsi"/>
                <w:sz w:val="22"/>
                <w:lang w:val="fr-FR"/>
              </w:rPr>
              <w:t>R</w:t>
            </w:r>
            <w:r w:rsidRPr="005305CD">
              <w:rPr>
                <w:rFonts w:asciiTheme="minorHAnsi" w:hAnsiTheme="minorHAnsi" w:cstheme="minorHAnsi"/>
                <w:sz w:val="22"/>
                <w:lang w:val="fr-FR"/>
              </w:rPr>
              <w:t xml:space="preserve">ecommandation n° 894/2 du Parlement Benelux </w:t>
            </w:r>
            <w:r w:rsidR="00B908FF" w:rsidRPr="005305CD">
              <w:rPr>
                <w:rFonts w:asciiTheme="minorHAnsi" w:hAnsiTheme="minorHAnsi" w:cstheme="minorHAnsi"/>
                <w:sz w:val="22"/>
                <w:lang w:val="fr-FR"/>
              </w:rPr>
              <w:t>du 24 mars 2018 r</w:t>
            </w:r>
            <w:r w:rsidRPr="005305CD">
              <w:rPr>
                <w:rFonts w:asciiTheme="minorHAnsi" w:hAnsiTheme="minorHAnsi" w:cstheme="minorHAnsi"/>
                <w:sz w:val="22"/>
                <w:lang w:val="fr-FR"/>
              </w:rPr>
              <w:t>elative à la reconnaissance des qualifications professionnelles dans le Benelux ;</w:t>
            </w:r>
          </w:p>
        </w:tc>
      </w:tr>
      <w:tr w:rsidR="005305CD" w:rsidRPr="005305CD" w14:paraId="12C4D02B" w14:textId="77777777" w:rsidTr="005305CD">
        <w:tc>
          <w:tcPr>
            <w:tcW w:w="4828" w:type="dxa"/>
            <w:shd w:val="clear" w:color="auto" w:fill="auto"/>
          </w:tcPr>
          <w:p w14:paraId="30292340" w14:textId="501098A8" w:rsidR="00A6665F" w:rsidRPr="005305CD" w:rsidRDefault="00A6665F"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Beschikking M (2015) 3 van 18 mei 2015 van het Comité van Ministers van de Benelux Unie betreffende de automatische wederzijdse generieke niveauerkenning van diploma's hoger onderwijs; </w:t>
            </w:r>
          </w:p>
        </w:tc>
        <w:tc>
          <w:tcPr>
            <w:tcW w:w="4809" w:type="dxa"/>
            <w:shd w:val="clear" w:color="auto" w:fill="auto"/>
          </w:tcPr>
          <w:p w14:paraId="353A25B1" w14:textId="6B8F95CF" w:rsidR="00A6665F" w:rsidRPr="005305CD" w:rsidRDefault="00A6665F"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BE"/>
              </w:rPr>
              <w:t xml:space="preserve">La </w:t>
            </w:r>
            <w:r w:rsidR="00D03ED5" w:rsidRPr="005305CD">
              <w:rPr>
                <w:rFonts w:asciiTheme="minorHAnsi" w:hAnsiTheme="minorHAnsi" w:cstheme="minorHAnsi"/>
                <w:sz w:val="22"/>
                <w:lang w:val="fr-BE"/>
              </w:rPr>
              <w:t>D</w:t>
            </w:r>
            <w:r w:rsidRPr="005305CD">
              <w:rPr>
                <w:rFonts w:asciiTheme="minorHAnsi" w:hAnsiTheme="minorHAnsi" w:cstheme="minorHAnsi"/>
                <w:sz w:val="22"/>
                <w:lang w:val="fr-BE"/>
              </w:rPr>
              <w:t xml:space="preserve">écision M (2015) 3 du 18 mai 2015 du Comité de Ministres de l'Union Benelux </w:t>
            </w:r>
            <w:r w:rsidRPr="005305CD">
              <w:rPr>
                <w:rFonts w:asciiTheme="minorHAnsi" w:hAnsiTheme="minorHAnsi" w:cstheme="minorHAnsi"/>
                <w:sz w:val="22"/>
                <w:shd w:val="clear" w:color="auto" w:fill="FFFFFF"/>
                <w:lang w:val="fr-FR"/>
              </w:rPr>
              <w:t>relative à la reconnaissance automatique mutuelle générique des niveaux des diplômes de l'enseignement supérieur ;</w:t>
            </w:r>
          </w:p>
        </w:tc>
      </w:tr>
      <w:tr w:rsidR="005305CD" w:rsidRPr="005305CD" w14:paraId="78F483C2" w14:textId="77777777" w:rsidTr="005305CD">
        <w:tc>
          <w:tcPr>
            <w:tcW w:w="4828" w:type="dxa"/>
            <w:shd w:val="clear" w:color="auto" w:fill="auto"/>
          </w:tcPr>
          <w:p w14:paraId="4A0A401E" w14:textId="27BD39DA" w:rsidR="00A6665F" w:rsidRPr="005305CD" w:rsidRDefault="00A6665F"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Beschikking van het Benelux Comité van Ministers M (2018) 1 van 25 januari 2018 tot aanvulling van beschikking M (2015) 3 betreffende de automatische wederzijdse </w:t>
            </w:r>
            <w:r w:rsidRPr="005305CD">
              <w:rPr>
                <w:rFonts w:asciiTheme="minorHAnsi" w:hAnsiTheme="minorHAnsi" w:cstheme="minorHAnsi"/>
                <w:sz w:val="22"/>
                <w:lang w:val="nl-BE"/>
              </w:rPr>
              <w:lastRenderedPageBreak/>
              <w:t>generieke niveauerkenning van diploma’s hoger onderwijs;</w:t>
            </w:r>
          </w:p>
        </w:tc>
        <w:tc>
          <w:tcPr>
            <w:tcW w:w="4809" w:type="dxa"/>
            <w:shd w:val="clear" w:color="auto" w:fill="auto"/>
          </w:tcPr>
          <w:p w14:paraId="064AA6FA" w14:textId="2C2C23CF" w:rsidR="00A6665F" w:rsidRPr="005305CD" w:rsidRDefault="00A6665F"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BE"/>
              </w:rPr>
              <w:lastRenderedPageBreak/>
              <w:t xml:space="preserve">La </w:t>
            </w:r>
            <w:r w:rsidR="00D03ED5" w:rsidRPr="005305CD">
              <w:rPr>
                <w:rFonts w:asciiTheme="minorHAnsi" w:hAnsiTheme="minorHAnsi" w:cstheme="minorHAnsi"/>
                <w:sz w:val="22"/>
                <w:lang w:val="fr-BE"/>
              </w:rPr>
              <w:t>D</w:t>
            </w:r>
            <w:r w:rsidRPr="005305CD">
              <w:rPr>
                <w:rFonts w:asciiTheme="minorHAnsi" w:hAnsiTheme="minorHAnsi" w:cstheme="minorHAnsi"/>
                <w:sz w:val="22"/>
                <w:lang w:val="fr-BE"/>
              </w:rPr>
              <w:t xml:space="preserve">écision du Comité de Ministres M (2018) 1 du 25 janvier 2018 complétant la </w:t>
            </w:r>
            <w:r w:rsidR="00BC3AB3" w:rsidRPr="005305CD">
              <w:rPr>
                <w:rFonts w:asciiTheme="minorHAnsi" w:hAnsiTheme="minorHAnsi" w:cstheme="minorHAnsi"/>
                <w:sz w:val="22"/>
                <w:lang w:val="fr-BE"/>
              </w:rPr>
              <w:t>D</w:t>
            </w:r>
            <w:r w:rsidRPr="005305CD">
              <w:rPr>
                <w:rFonts w:asciiTheme="minorHAnsi" w:hAnsiTheme="minorHAnsi" w:cstheme="minorHAnsi"/>
                <w:sz w:val="22"/>
                <w:lang w:val="fr-BE"/>
              </w:rPr>
              <w:t xml:space="preserve">écision M (2015) 3 du 18 mai 2015 du Comité de Ministres de l'Union Benelux </w:t>
            </w:r>
            <w:r w:rsidRPr="005305CD">
              <w:rPr>
                <w:rFonts w:asciiTheme="minorHAnsi" w:hAnsiTheme="minorHAnsi" w:cstheme="minorHAnsi"/>
                <w:sz w:val="22"/>
                <w:shd w:val="clear" w:color="auto" w:fill="FFFFFF"/>
                <w:lang w:val="fr-FR"/>
              </w:rPr>
              <w:t xml:space="preserve">relative à la reconnaissance </w:t>
            </w:r>
            <w:r w:rsidRPr="005305CD">
              <w:rPr>
                <w:rFonts w:asciiTheme="minorHAnsi" w:hAnsiTheme="minorHAnsi" w:cstheme="minorHAnsi"/>
                <w:sz w:val="22"/>
                <w:shd w:val="clear" w:color="auto" w:fill="FFFFFF"/>
                <w:lang w:val="fr-FR"/>
              </w:rPr>
              <w:lastRenderedPageBreak/>
              <w:t>automatique mutuelle générique des niveaux des diplômes de l'enseignement supérieur</w:t>
            </w:r>
            <w:r w:rsidR="003160B5" w:rsidRPr="005305CD">
              <w:rPr>
                <w:rFonts w:asciiTheme="minorHAnsi" w:hAnsiTheme="minorHAnsi" w:cstheme="minorHAnsi"/>
                <w:sz w:val="22"/>
                <w:shd w:val="clear" w:color="auto" w:fill="FFFFFF"/>
                <w:lang w:val="fr-FR"/>
              </w:rPr>
              <w:t xml:space="preserve"> ; </w:t>
            </w:r>
          </w:p>
        </w:tc>
      </w:tr>
      <w:tr w:rsidR="005305CD" w:rsidRPr="005305CD" w14:paraId="646E9D8C" w14:textId="77777777" w:rsidTr="005305CD">
        <w:tc>
          <w:tcPr>
            <w:tcW w:w="4828" w:type="dxa"/>
            <w:shd w:val="clear" w:color="auto" w:fill="auto"/>
          </w:tcPr>
          <w:p w14:paraId="5D355EAA" w14:textId="447D3050" w:rsidR="00A6665F" w:rsidRPr="005305CD" w:rsidRDefault="00A6665F" w:rsidP="0017013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lastRenderedPageBreak/>
              <w:t>Het Verdrag van 14 september 2021 tussen het Koninkrijk België, de Republiek Estland, de Republiek Letland, de Republiek Litouwen, het Groothertogdom Luxemburg en het Koninkrijk der Nederlanden betreffende de automatische wederzijdse erkenning van diploma’s in het hoger onderwijs, dat op 1 mei 2024 in werking is getreden;</w:t>
            </w:r>
          </w:p>
        </w:tc>
        <w:tc>
          <w:tcPr>
            <w:tcW w:w="4809" w:type="dxa"/>
            <w:shd w:val="clear" w:color="auto" w:fill="auto"/>
          </w:tcPr>
          <w:p w14:paraId="637D994A" w14:textId="57E7522F" w:rsidR="00A6665F" w:rsidRPr="005305CD" w:rsidRDefault="00A6665F" w:rsidP="0017013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Le Traité du 14 septembre 2021 entre le Royaume de Belgique, la République d'Estonie, la République de Lettonie, la République de Lituanie, le Grand-Duché de Luxembourg et le Royaume des Pays-Bas sur la reconnaissance automatique mutuelle des qualifications de l’enseignement supérieur, entré en vigueur le 1</w:t>
            </w:r>
            <w:r w:rsidRPr="005305CD">
              <w:rPr>
                <w:rFonts w:asciiTheme="minorHAnsi" w:hAnsiTheme="minorHAnsi" w:cstheme="minorHAnsi"/>
                <w:sz w:val="22"/>
                <w:vertAlign w:val="superscript"/>
                <w:lang w:val="fr-FR"/>
              </w:rPr>
              <w:t>er</w:t>
            </w:r>
            <w:r w:rsidRPr="005305CD">
              <w:rPr>
                <w:rFonts w:asciiTheme="minorHAnsi" w:hAnsiTheme="minorHAnsi" w:cstheme="minorHAnsi"/>
                <w:sz w:val="22"/>
                <w:lang w:val="fr-FR"/>
              </w:rPr>
              <w:t xml:space="preserve"> mai 2024 ;</w:t>
            </w:r>
          </w:p>
        </w:tc>
      </w:tr>
      <w:tr w:rsidR="005305CD" w:rsidRPr="005305CD" w14:paraId="70AD7B7B" w14:textId="77777777" w:rsidTr="005305CD">
        <w:tc>
          <w:tcPr>
            <w:tcW w:w="4828" w:type="dxa"/>
            <w:shd w:val="clear" w:color="auto" w:fill="auto"/>
          </w:tcPr>
          <w:p w14:paraId="71A01ED5" w14:textId="69B2AB28" w:rsidR="003A7608" w:rsidRPr="005305CD" w:rsidRDefault="003A7608" w:rsidP="003A760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Bidi"/>
                <w:sz w:val="22"/>
                <w:lang w:val="nl-BE"/>
              </w:rPr>
              <w:t xml:space="preserve">De Raamovereenkomst van 4 december 2014 over grensoverschrijdende beroepsopleiding in de </w:t>
            </w:r>
            <w:r w:rsidRPr="005305CD">
              <w:rPr>
                <w:rFonts w:asciiTheme="minorHAnsi" w:hAnsiTheme="minorHAnsi" w:cstheme="minorBidi"/>
                <w:i/>
                <w:iCs/>
                <w:sz w:val="22"/>
                <w:lang w:val="nl-BE"/>
              </w:rPr>
              <w:t xml:space="preserve">Grande </w:t>
            </w:r>
            <w:proofErr w:type="spellStart"/>
            <w:r w:rsidRPr="005305CD">
              <w:rPr>
                <w:rFonts w:asciiTheme="minorHAnsi" w:hAnsiTheme="minorHAnsi" w:cstheme="minorBidi"/>
                <w:i/>
                <w:iCs/>
                <w:sz w:val="22"/>
                <w:lang w:val="nl-BE"/>
              </w:rPr>
              <w:t>Région</w:t>
            </w:r>
            <w:proofErr w:type="spellEnd"/>
            <w:r w:rsidRPr="005305CD">
              <w:rPr>
                <w:rFonts w:asciiTheme="minorHAnsi" w:hAnsiTheme="minorHAnsi" w:cstheme="minorBidi"/>
                <w:i/>
                <w:iCs/>
                <w:sz w:val="22"/>
                <w:lang w:val="nl-BE"/>
              </w:rPr>
              <w:t>;</w:t>
            </w:r>
          </w:p>
        </w:tc>
        <w:tc>
          <w:tcPr>
            <w:tcW w:w="4809" w:type="dxa"/>
            <w:shd w:val="clear" w:color="auto" w:fill="auto"/>
          </w:tcPr>
          <w:p w14:paraId="26CBBA0E" w14:textId="501E3053" w:rsidR="003A7608" w:rsidRPr="005305CD" w:rsidRDefault="003A7608" w:rsidP="003A7608">
            <w:pPr>
              <w:pStyle w:val="NoSpacing"/>
              <w:numPr>
                <w:ilvl w:val="0"/>
                <w:numId w:val="17"/>
              </w:numPr>
              <w:ind w:left="313"/>
              <w:rPr>
                <w:rFonts w:asciiTheme="minorHAnsi" w:hAnsiTheme="minorHAnsi" w:cstheme="minorBidi"/>
                <w:sz w:val="22"/>
                <w:lang w:val="fr-BE"/>
              </w:rPr>
            </w:pPr>
            <w:r w:rsidRPr="005305CD">
              <w:rPr>
                <w:rFonts w:asciiTheme="minorHAnsi" w:hAnsiTheme="minorHAnsi" w:cstheme="minorBidi"/>
                <w:sz w:val="22"/>
                <w:lang w:val="fr-BE"/>
              </w:rPr>
              <w:t>L’Accord-cadre du 4 décembre 2014 relatif à la formation professionnelle transfrontalière dans la Grande Région ;</w:t>
            </w:r>
          </w:p>
        </w:tc>
      </w:tr>
      <w:tr w:rsidR="005305CD" w:rsidRPr="005305CD" w14:paraId="7F64E1F1" w14:textId="77777777" w:rsidTr="005305CD">
        <w:tc>
          <w:tcPr>
            <w:tcW w:w="4828" w:type="dxa"/>
            <w:shd w:val="clear" w:color="auto" w:fill="auto"/>
          </w:tcPr>
          <w:p w14:paraId="253182AF" w14:textId="5F2C3224" w:rsidR="003A7608" w:rsidRPr="005305CD" w:rsidRDefault="003A7608" w:rsidP="003A7608">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De stellingname van de </w:t>
            </w:r>
            <w:proofErr w:type="spellStart"/>
            <w:r w:rsidRPr="005305CD">
              <w:rPr>
                <w:rFonts w:asciiTheme="minorHAnsi" w:hAnsiTheme="minorHAnsi" w:cstheme="minorHAnsi"/>
                <w:i/>
                <w:iCs/>
                <w:sz w:val="22"/>
                <w:lang w:val="nl-BE"/>
              </w:rPr>
              <w:t>Conseil</w:t>
            </w:r>
            <w:proofErr w:type="spellEnd"/>
            <w:r w:rsidRPr="005305CD">
              <w:rPr>
                <w:rFonts w:asciiTheme="minorHAnsi" w:hAnsiTheme="minorHAnsi" w:cstheme="minorHAnsi"/>
                <w:i/>
                <w:iCs/>
                <w:sz w:val="22"/>
                <w:lang w:val="nl-BE"/>
              </w:rPr>
              <w:t xml:space="preserve"> </w:t>
            </w:r>
            <w:proofErr w:type="spellStart"/>
            <w:r w:rsidRPr="005305CD">
              <w:rPr>
                <w:rFonts w:asciiTheme="minorHAnsi" w:hAnsiTheme="minorHAnsi" w:cstheme="minorHAnsi"/>
                <w:i/>
                <w:iCs/>
                <w:sz w:val="22"/>
                <w:lang w:val="nl-BE"/>
              </w:rPr>
              <w:t>Interrégional</w:t>
            </w:r>
            <w:proofErr w:type="spellEnd"/>
            <w:r w:rsidRPr="005305CD">
              <w:rPr>
                <w:rFonts w:asciiTheme="minorHAnsi" w:hAnsiTheme="minorHAnsi" w:cstheme="minorHAnsi"/>
                <w:i/>
                <w:iCs/>
                <w:sz w:val="22"/>
                <w:lang w:val="nl-BE"/>
              </w:rPr>
              <w:t xml:space="preserve"> des </w:t>
            </w:r>
            <w:proofErr w:type="spellStart"/>
            <w:r w:rsidRPr="005305CD">
              <w:rPr>
                <w:rFonts w:asciiTheme="minorHAnsi" w:hAnsiTheme="minorHAnsi" w:cstheme="minorHAnsi"/>
                <w:i/>
                <w:iCs/>
                <w:sz w:val="22"/>
                <w:lang w:val="nl-BE"/>
              </w:rPr>
              <w:t>Chambres</w:t>
            </w:r>
            <w:proofErr w:type="spellEnd"/>
            <w:r w:rsidRPr="005305CD">
              <w:rPr>
                <w:rFonts w:asciiTheme="minorHAnsi" w:hAnsiTheme="minorHAnsi" w:cstheme="minorHAnsi"/>
                <w:i/>
                <w:iCs/>
                <w:sz w:val="22"/>
                <w:lang w:val="nl-BE"/>
              </w:rPr>
              <w:t xml:space="preserve"> des Métiers</w:t>
            </w:r>
            <w:r w:rsidRPr="005305CD">
              <w:rPr>
                <w:rFonts w:asciiTheme="minorHAnsi" w:hAnsiTheme="minorHAnsi" w:cstheme="minorHAnsi"/>
                <w:sz w:val="22"/>
                <w:lang w:val="nl-BE"/>
              </w:rPr>
              <w:t xml:space="preserve"> van 22 november 2022 “De vaardigheden van de toekomst ontwikkelen via een gemeenschappelijke strategie ‘initiële en voortgezette beroepsopleiding’ in de </w:t>
            </w:r>
            <w:r w:rsidRPr="005305CD">
              <w:rPr>
                <w:rFonts w:asciiTheme="minorHAnsi" w:hAnsiTheme="minorHAnsi" w:cstheme="minorHAnsi"/>
                <w:i/>
                <w:iCs/>
                <w:sz w:val="22"/>
                <w:lang w:val="nl-BE"/>
              </w:rPr>
              <w:t xml:space="preserve">Grande </w:t>
            </w:r>
            <w:proofErr w:type="spellStart"/>
            <w:r w:rsidRPr="005305CD">
              <w:rPr>
                <w:rFonts w:asciiTheme="minorHAnsi" w:hAnsiTheme="minorHAnsi" w:cstheme="minorHAnsi"/>
                <w:i/>
                <w:iCs/>
                <w:sz w:val="22"/>
                <w:lang w:val="nl-BE"/>
              </w:rPr>
              <w:t>Région</w:t>
            </w:r>
            <w:proofErr w:type="spellEnd"/>
            <w:r w:rsidRPr="005305CD">
              <w:rPr>
                <w:rFonts w:asciiTheme="minorHAnsi" w:hAnsiTheme="minorHAnsi" w:cstheme="minorHAnsi"/>
                <w:sz w:val="22"/>
                <w:lang w:val="nl-BE"/>
              </w:rPr>
              <w:t>”</w:t>
            </w:r>
            <w:r w:rsidRPr="005305CD">
              <w:rPr>
                <w:rFonts w:asciiTheme="minorHAnsi" w:hAnsiTheme="minorHAnsi" w:cstheme="minorHAnsi"/>
                <w:i/>
                <w:iCs/>
                <w:sz w:val="22"/>
                <w:lang w:val="nl-BE"/>
              </w:rPr>
              <w:t>;</w:t>
            </w:r>
          </w:p>
        </w:tc>
        <w:tc>
          <w:tcPr>
            <w:tcW w:w="4809" w:type="dxa"/>
            <w:shd w:val="clear" w:color="auto" w:fill="auto"/>
          </w:tcPr>
          <w:p w14:paraId="776F2ED7" w14:textId="092BBB3F" w:rsidR="003A7608" w:rsidRPr="005305CD" w:rsidRDefault="003A7608" w:rsidP="003A7608">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La prise de position du Conseil Interrégional des Chambre des  Métiers du 22 novembre 2022 « Développement des compétences d’avenir par une stratégie ‘formation professionnelle initiale et continue’ commune en Grande Région » ;</w:t>
            </w:r>
          </w:p>
        </w:tc>
      </w:tr>
      <w:tr w:rsidR="005305CD" w:rsidRPr="005305CD" w14:paraId="5723005B" w14:textId="77777777" w:rsidTr="005305CD">
        <w:tc>
          <w:tcPr>
            <w:tcW w:w="4828" w:type="dxa"/>
            <w:shd w:val="clear" w:color="auto" w:fill="auto"/>
          </w:tcPr>
          <w:p w14:paraId="6F32EB7B" w14:textId="44821B4A"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Bidi"/>
                <w:sz w:val="22"/>
                <w:lang w:val="nl-BE"/>
              </w:rPr>
              <w:t>De relevante hoofdstukken van de “</w:t>
            </w:r>
            <w:proofErr w:type="spellStart"/>
            <w:r w:rsidRPr="005305CD">
              <w:rPr>
                <w:rFonts w:asciiTheme="minorHAnsi" w:hAnsiTheme="minorHAnsi" w:cstheme="minorBidi"/>
                <w:i/>
                <w:iCs/>
                <w:sz w:val="22"/>
                <w:lang w:val="nl-NL"/>
              </w:rPr>
              <w:t>Feuille</w:t>
            </w:r>
            <w:proofErr w:type="spellEnd"/>
            <w:r w:rsidRPr="005305CD">
              <w:rPr>
                <w:rFonts w:asciiTheme="minorHAnsi" w:hAnsiTheme="minorHAnsi" w:cstheme="minorBidi"/>
                <w:i/>
                <w:iCs/>
                <w:sz w:val="22"/>
                <w:lang w:val="nl-NL"/>
              </w:rPr>
              <w:t xml:space="preserve"> de route de la coopération 2025-2026</w:t>
            </w:r>
            <w:r w:rsidRPr="005305CD">
              <w:rPr>
                <w:rFonts w:asciiTheme="minorHAnsi" w:hAnsiTheme="minorHAnsi" w:cstheme="minorBidi"/>
                <w:sz w:val="22"/>
                <w:lang w:val="nl-BE"/>
              </w:rPr>
              <w:t xml:space="preserve">” van het tripartiete voorzitterschap (Waals Gewest, Franse en Duitstalige Gemeenschap) van de </w:t>
            </w:r>
            <w:r w:rsidRPr="005305CD">
              <w:rPr>
                <w:rFonts w:asciiTheme="minorHAnsi" w:hAnsiTheme="minorHAnsi" w:cstheme="minorBidi"/>
                <w:i/>
                <w:iCs/>
                <w:sz w:val="22"/>
                <w:lang w:val="nl-BE"/>
              </w:rPr>
              <w:t xml:space="preserve"> Grande </w:t>
            </w:r>
            <w:proofErr w:type="spellStart"/>
            <w:r w:rsidRPr="005305CD">
              <w:rPr>
                <w:rFonts w:asciiTheme="minorHAnsi" w:hAnsiTheme="minorHAnsi" w:cstheme="minorBidi"/>
                <w:i/>
                <w:iCs/>
                <w:sz w:val="22"/>
                <w:lang w:val="nl-BE"/>
              </w:rPr>
              <w:t>Région</w:t>
            </w:r>
            <w:proofErr w:type="spellEnd"/>
            <w:r w:rsidRPr="005305CD">
              <w:rPr>
                <w:rFonts w:asciiTheme="minorHAnsi" w:hAnsiTheme="minorHAnsi" w:cstheme="minorBidi"/>
                <w:sz w:val="22"/>
                <w:lang w:val="nl-BE"/>
              </w:rPr>
              <w:t xml:space="preserve">, aangenomen door de 19e Top van de </w:t>
            </w:r>
            <w:r w:rsidRPr="005305CD">
              <w:rPr>
                <w:rFonts w:asciiTheme="minorHAnsi" w:hAnsiTheme="minorHAnsi" w:cstheme="minorBidi"/>
                <w:i/>
                <w:iCs/>
                <w:sz w:val="22"/>
                <w:lang w:val="nl-BE"/>
              </w:rPr>
              <w:t xml:space="preserve">Grande </w:t>
            </w:r>
            <w:proofErr w:type="spellStart"/>
            <w:r w:rsidRPr="005305CD">
              <w:rPr>
                <w:rFonts w:asciiTheme="minorHAnsi" w:hAnsiTheme="minorHAnsi" w:cstheme="minorBidi"/>
                <w:i/>
                <w:iCs/>
                <w:sz w:val="22"/>
                <w:lang w:val="nl-BE"/>
              </w:rPr>
              <w:t>Région</w:t>
            </w:r>
            <w:proofErr w:type="spellEnd"/>
            <w:r w:rsidRPr="005305CD">
              <w:rPr>
                <w:rFonts w:asciiTheme="minorHAnsi" w:hAnsiTheme="minorHAnsi" w:cstheme="minorBidi"/>
                <w:sz w:val="22"/>
                <w:lang w:val="nl-BE"/>
              </w:rPr>
              <w:t xml:space="preserve"> op 13 december 2024 ;</w:t>
            </w:r>
          </w:p>
        </w:tc>
        <w:tc>
          <w:tcPr>
            <w:tcW w:w="4809" w:type="dxa"/>
            <w:shd w:val="clear" w:color="auto" w:fill="auto"/>
          </w:tcPr>
          <w:p w14:paraId="0F80B16B" w14:textId="3BAAB1D9" w:rsidR="00A6665F" w:rsidRPr="005305CD" w:rsidRDefault="00A6665F" w:rsidP="00A6665F">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Bidi"/>
                <w:sz w:val="22"/>
                <w:lang w:val="fr-FR"/>
              </w:rPr>
              <w:t>Les chapitres pertinents de la « Feuille de route de la coopération 2025-2026 » de la présidence tripartite (Région wallonne, Communautés françaises et germanophones) de la Grande Région, adoptée par le XIX Sommet de la Grande Région le 13 décembre 2024 ;</w:t>
            </w:r>
          </w:p>
        </w:tc>
      </w:tr>
      <w:tr w:rsidR="005305CD" w:rsidRPr="005305CD" w14:paraId="023459A3" w14:textId="77777777" w:rsidTr="005305CD">
        <w:tc>
          <w:tcPr>
            <w:tcW w:w="4828" w:type="dxa"/>
            <w:shd w:val="clear" w:color="auto" w:fill="auto"/>
          </w:tcPr>
          <w:p w14:paraId="07BED672" w14:textId="12C8DC46"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Het Verslag COM(2023) 91 van de Commissie aan de Raad betreffende de uitvoering van de aanbeveling van de Raad betreffende de bevordering van automatische wederzijdse erkenning van kwalificaties van hoger onderwijs en hoger secundair onderwijs en opleiding en de resultaten van leerperioden in het buitenland;</w:t>
            </w:r>
          </w:p>
        </w:tc>
        <w:tc>
          <w:tcPr>
            <w:tcW w:w="4809" w:type="dxa"/>
            <w:shd w:val="clear" w:color="auto" w:fill="auto"/>
          </w:tcPr>
          <w:p w14:paraId="3F357E20" w14:textId="6D7BEA19" w:rsidR="00A6665F" w:rsidRPr="005305CD" w:rsidRDefault="00A6665F" w:rsidP="00A6665F">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 xml:space="preserve">Le </w:t>
            </w:r>
            <w:r w:rsidR="007C79C5" w:rsidRPr="005305CD">
              <w:rPr>
                <w:rFonts w:asciiTheme="minorHAnsi" w:hAnsiTheme="minorHAnsi" w:cstheme="minorHAnsi"/>
                <w:sz w:val="22"/>
                <w:lang w:val="fr-FR"/>
              </w:rPr>
              <w:t>R</w:t>
            </w:r>
            <w:r w:rsidRPr="005305CD">
              <w:rPr>
                <w:rFonts w:asciiTheme="minorHAnsi" w:hAnsiTheme="minorHAnsi" w:cstheme="minorHAnsi"/>
                <w:sz w:val="22"/>
                <w:lang w:val="fr-FR"/>
              </w:rPr>
              <w:t>apport COM (2023) 91 de la Commission au Conseil sur la mise en œuvre de la recommandation du Conseil en faveur de la reconnaissance mutuelle automatique des qualifications de l’enseignement supérieur, des qualifications de l’enseignement et de la formation secondaire de deuxième cycle et des acquis de périodes d’apprentissage effectuées à l’étranger ;</w:t>
            </w:r>
          </w:p>
        </w:tc>
      </w:tr>
      <w:tr w:rsidR="005305CD" w:rsidRPr="005305CD" w14:paraId="0F10A12A" w14:textId="77777777" w:rsidTr="005305CD">
        <w:tc>
          <w:tcPr>
            <w:tcW w:w="4828" w:type="dxa"/>
            <w:shd w:val="clear" w:color="auto" w:fill="auto"/>
          </w:tcPr>
          <w:p w14:paraId="46E594FB" w14:textId="53D9F9A6" w:rsidR="00A6665F" w:rsidRPr="005305CD" w:rsidRDefault="00A6665F" w:rsidP="00A6665F">
            <w:pPr>
              <w:pStyle w:val="NoSpacing"/>
              <w:numPr>
                <w:ilvl w:val="0"/>
                <w:numId w:val="17"/>
              </w:numPr>
              <w:ind w:left="316"/>
              <w:rPr>
                <w:rFonts w:asciiTheme="minorHAnsi" w:hAnsiTheme="minorHAnsi" w:cstheme="minorHAnsi"/>
                <w:sz w:val="22"/>
                <w:lang w:val="nl-BE"/>
              </w:rPr>
            </w:pPr>
            <w:r w:rsidRPr="005305CD">
              <w:rPr>
                <w:rFonts w:asciiTheme="minorHAnsi" w:hAnsiTheme="minorHAnsi" w:cstheme="minorHAnsi"/>
                <w:sz w:val="22"/>
                <w:lang w:val="nl-BE"/>
              </w:rPr>
              <w:t>De Conclusies van de Raad van de Europese Unie van 15 mei 2023 over verdere stappen om automatische wederzijdse erkenning op het gebied van onderwijs en opleiding te bewerkstelligen (2023/C 185/10);</w:t>
            </w:r>
          </w:p>
        </w:tc>
        <w:tc>
          <w:tcPr>
            <w:tcW w:w="4809" w:type="dxa"/>
            <w:shd w:val="clear" w:color="auto" w:fill="auto"/>
          </w:tcPr>
          <w:p w14:paraId="70913E51" w14:textId="5AFA5FD6" w:rsidR="00A6665F" w:rsidRPr="005305CD" w:rsidRDefault="00A6665F" w:rsidP="00A6665F">
            <w:pPr>
              <w:pStyle w:val="NoSpacing"/>
              <w:numPr>
                <w:ilvl w:val="0"/>
                <w:numId w:val="17"/>
              </w:numPr>
              <w:ind w:left="305"/>
              <w:rPr>
                <w:rFonts w:asciiTheme="minorHAnsi" w:hAnsiTheme="minorHAnsi" w:cstheme="minorHAnsi"/>
                <w:sz w:val="22"/>
                <w:lang w:val="fr-FR"/>
              </w:rPr>
            </w:pPr>
            <w:r w:rsidRPr="005305CD">
              <w:rPr>
                <w:rFonts w:asciiTheme="minorHAnsi" w:hAnsiTheme="minorHAnsi" w:cstheme="minorHAnsi"/>
                <w:sz w:val="22"/>
                <w:lang w:val="fr-FR"/>
              </w:rPr>
              <w:t>Les Conclusions du Conseil de l’Union européenne du 15 mai 2023 sur les nouvelles mesures à prendre pour faire de la reconnaissance mutuelle automatique dans le domaine de l'enseignement et de la formation une réalité (2023/C 185/10) ;</w:t>
            </w:r>
          </w:p>
        </w:tc>
      </w:tr>
      <w:tr w:rsidR="005305CD" w:rsidRPr="005305CD" w14:paraId="2A739C09" w14:textId="77777777" w:rsidTr="005305CD">
        <w:tc>
          <w:tcPr>
            <w:tcW w:w="4828" w:type="dxa"/>
            <w:shd w:val="clear" w:color="auto" w:fill="auto"/>
          </w:tcPr>
          <w:p w14:paraId="328BC420" w14:textId="69616DF6"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Het speciaal </w:t>
            </w:r>
            <w:r w:rsidR="005D65B4" w:rsidRPr="005305CD">
              <w:rPr>
                <w:rFonts w:asciiTheme="minorHAnsi" w:hAnsiTheme="minorHAnsi" w:cstheme="minorHAnsi"/>
                <w:sz w:val="22"/>
                <w:lang w:val="nl-BE"/>
              </w:rPr>
              <w:t>V</w:t>
            </w:r>
            <w:r w:rsidRPr="005305CD">
              <w:rPr>
                <w:rFonts w:asciiTheme="minorHAnsi" w:hAnsiTheme="minorHAnsi" w:cstheme="minorHAnsi"/>
                <w:sz w:val="22"/>
                <w:lang w:val="nl-BE"/>
              </w:rPr>
              <w:t>erslag 10/2024 “De erkenning van beroepskwalificaties in de EU – Een essentieel, maar mondjesmaat en inconsistent gebruikt mechanisme” van de Europese Rekenkamer.</w:t>
            </w:r>
          </w:p>
        </w:tc>
        <w:tc>
          <w:tcPr>
            <w:tcW w:w="4809" w:type="dxa"/>
            <w:shd w:val="clear" w:color="auto" w:fill="auto"/>
          </w:tcPr>
          <w:p w14:paraId="36EFD964" w14:textId="5E03335E" w:rsidR="00A6665F" w:rsidRPr="005305CD" w:rsidRDefault="00A6665F" w:rsidP="00A6665F">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 xml:space="preserve">Le </w:t>
            </w:r>
            <w:r w:rsidR="005D65B4" w:rsidRPr="005305CD">
              <w:rPr>
                <w:rFonts w:asciiTheme="minorHAnsi" w:hAnsiTheme="minorHAnsi" w:cstheme="minorHAnsi"/>
                <w:sz w:val="22"/>
                <w:lang w:val="fr-FR"/>
              </w:rPr>
              <w:t>R</w:t>
            </w:r>
            <w:r w:rsidRPr="005305CD">
              <w:rPr>
                <w:rFonts w:asciiTheme="minorHAnsi" w:hAnsiTheme="minorHAnsi" w:cstheme="minorHAnsi"/>
                <w:sz w:val="22"/>
                <w:lang w:val="fr-FR"/>
              </w:rPr>
              <w:t>apport spécial 10/2024 « Reconnaissance des qualifications professionnelles dans l’Union européenne – Un mécanisme essentiel, mais utilisé de manière sporadique et incohérente » de la Cour des comptes européenne.</w:t>
            </w:r>
          </w:p>
        </w:tc>
      </w:tr>
      <w:tr w:rsidR="005305CD" w:rsidRPr="005305CD" w14:paraId="6B4AD3AB" w14:textId="77777777" w:rsidTr="005305CD">
        <w:tc>
          <w:tcPr>
            <w:tcW w:w="4828" w:type="dxa"/>
            <w:shd w:val="clear" w:color="auto" w:fill="auto"/>
          </w:tcPr>
          <w:p w14:paraId="2D5F64AF" w14:textId="77777777" w:rsidR="00A6665F" w:rsidRPr="005305CD" w:rsidRDefault="00A6665F" w:rsidP="00A6665F">
            <w:pPr>
              <w:pStyle w:val="NoSpacing"/>
              <w:rPr>
                <w:rFonts w:asciiTheme="minorHAnsi" w:hAnsiTheme="minorHAnsi" w:cstheme="minorHAnsi"/>
                <w:sz w:val="22"/>
                <w:lang w:val="fr-FR"/>
              </w:rPr>
            </w:pPr>
          </w:p>
        </w:tc>
        <w:tc>
          <w:tcPr>
            <w:tcW w:w="4809" w:type="dxa"/>
            <w:shd w:val="clear" w:color="auto" w:fill="auto"/>
          </w:tcPr>
          <w:p w14:paraId="3FA65655" w14:textId="77777777" w:rsidR="00A6665F" w:rsidRPr="005305CD" w:rsidRDefault="00A6665F" w:rsidP="00A6665F">
            <w:pPr>
              <w:pStyle w:val="NoSpacing"/>
              <w:rPr>
                <w:rFonts w:asciiTheme="minorHAnsi" w:hAnsiTheme="minorHAnsi" w:cstheme="minorHAnsi"/>
                <w:sz w:val="22"/>
                <w:lang w:val="fr-FR"/>
              </w:rPr>
            </w:pPr>
          </w:p>
        </w:tc>
      </w:tr>
      <w:tr w:rsidR="005305CD" w:rsidRPr="005305CD" w14:paraId="5B6CCC0D" w14:textId="77777777" w:rsidTr="005305CD">
        <w:tc>
          <w:tcPr>
            <w:tcW w:w="4828" w:type="dxa"/>
            <w:shd w:val="clear" w:color="auto" w:fill="auto"/>
          </w:tcPr>
          <w:p w14:paraId="2A3639C1" w14:textId="77777777" w:rsidR="00A6665F" w:rsidRPr="005305CD" w:rsidRDefault="00A6665F" w:rsidP="00A6665F">
            <w:pPr>
              <w:pStyle w:val="NoSpacing"/>
              <w:rPr>
                <w:rFonts w:asciiTheme="minorHAnsi" w:hAnsiTheme="minorHAnsi" w:cstheme="minorHAnsi"/>
                <w:b/>
                <w:bCs/>
                <w:sz w:val="22"/>
                <w:lang w:val="fr-FR"/>
              </w:rPr>
            </w:pPr>
            <w:r w:rsidRPr="005305CD">
              <w:rPr>
                <w:rFonts w:asciiTheme="minorHAnsi" w:hAnsiTheme="minorHAnsi" w:cstheme="minorHAnsi"/>
                <w:b/>
                <w:bCs/>
                <w:sz w:val="22"/>
                <w:lang w:val="en-GB"/>
              </w:rPr>
              <w:t>VASTSTELLEND</w:t>
            </w:r>
            <w:r w:rsidRPr="005305CD">
              <w:rPr>
                <w:rFonts w:asciiTheme="minorHAnsi" w:hAnsiTheme="minorHAnsi" w:cstheme="minorHAnsi"/>
                <w:b/>
                <w:bCs/>
                <w:sz w:val="22"/>
                <w:lang w:val="fr-FR"/>
              </w:rPr>
              <w:t>:</w:t>
            </w:r>
          </w:p>
        </w:tc>
        <w:tc>
          <w:tcPr>
            <w:tcW w:w="4809" w:type="dxa"/>
            <w:shd w:val="clear" w:color="auto" w:fill="auto"/>
          </w:tcPr>
          <w:p w14:paraId="7D525AA8" w14:textId="1BF47B64" w:rsidR="00A6665F" w:rsidRPr="005305CD" w:rsidRDefault="00A6665F" w:rsidP="00A6665F">
            <w:pPr>
              <w:pStyle w:val="NoSpacing"/>
              <w:jc w:val="left"/>
              <w:rPr>
                <w:rFonts w:asciiTheme="minorHAnsi" w:hAnsiTheme="minorHAnsi" w:cstheme="minorHAnsi"/>
                <w:b/>
                <w:bCs/>
                <w:sz w:val="22"/>
                <w:lang w:val="fr-FR"/>
              </w:rPr>
            </w:pPr>
            <w:r w:rsidRPr="005305CD">
              <w:rPr>
                <w:rFonts w:asciiTheme="minorHAnsi" w:hAnsiTheme="minorHAnsi" w:cstheme="minorHAnsi"/>
                <w:b/>
                <w:bCs/>
                <w:sz w:val="22"/>
                <w:lang w:val="fr-BE"/>
              </w:rPr>
              <w:t>CONSTATANT :</w:t>
            </w:r>
          </w:p>
        </w:tc>
      </w:tr>
      <w:tr w:rsidR="005305CD" w:rsidRPr="005305CD" w14:paraId="1E1EADE8" w14:textId="77777777" w:rsidTr="005305CD">
        <w:tc>
          <w:tcPr>
            <w:tcW w:w="4828" w:type="dxa"/>
            <w:shd w:val="clear" w:color="auto" w:fill="auto"/>
          </w:tcPr>
          <w:p w14:paraId="77DCF3A6" w14:textId="77777777" w:rsidR="00A6665F" w:rsidRPr="005305CD" w:rsidRDefault="00A6665F" w:rsidP="00A6665F">
            <w:pPr>
              <w:pStyle w:val="NoSpacing"/>
              <w:rPr>
                <w:rFonts w:asciiTheme="minorHAnsi" w:hAnsiTheme="minorHAnsi" w:cstheme="minorHAnsi"/>
                <w:sz w:val="22"/>
                <w:lang w:val="fr-FR"/>
              </w:rPr>
            </w:pPr>
          </w:p>
        </w:tc>
        <w:tc>
          <w:tcPr>
            <w:tcW w:w="4809" w:type="dxa"/>
            <w:shd w:val="clear" w:color="auto" w:fill="auto"/>
          </w:tcPr>
          <w:p w14:paraId="727C1AD7" w14:textId="77777777" w:rsidR="00A6665F" w:rsidRPr="005305CD" w:rsidRDefault="00A6665F" w:rsidP="00A6665F">
            <w:pPr>
              <w:pStyle w:val="NoSpacing"/>
              <w:jc w:val="left"/>
              <w:rPr>
                <w:rFonts w:asciiTheme="minorHAnsi" w:hAnsiTheme="minorHAnsi" w:cstheme="minorHAnsi"/>
                <w:sz w:val="22"/>
                <w:lang w:val="fr-BE"/>
              </w:rPr>
            </w:pPr>
          </w:p>
        </w:tc>
      </w:tr>
      <w:tr w:rsidR="005305CD" w:rsidRPr="005305CD" w14:paraId="0186BAC5" w14:textId="77777777" w:rsidTr="005305CD">
        <w:tc>
          <w:tcPr>
            <w:tcW w:w="4828" w:type="dxa"/>
            <w:shd w:val="clear" w:color="auto" w:fill="auto"/>
          </w:tcPr>
          <w:p w14:paraId="1A02643E" w14:textId="5AA2164E"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Dat vrij verkeer van onderzoek, innovatie, kennis en onderwijs onontbeerlijk is voor de toekomst van de Europese interne markt, zoals blijkt uit het rapport-</w:t>
            </w:r>
            <w:proofErr w:type="spellStart"/>
            <w:r w:rsidRPr="005305CD">
              <w:rPr>
                <w:rFonts w:asciiTheme="minorHAnsi" w:hAnsiTheme="minorHAnsi" w:cstheme="minorHAnsi"/>
                <w:sz w:val="22"/>
                <w:lang w:val="nl-BE"/>
              </w:rPr>
              <w:t>Letta</w:t>
            </w:r>
            <w:proofErr w:type="spellEnd"/>
            <w:r w:rsidRPr="005305CD">
              <w:rPr>
                <w:rFonts w:asciiTheme="minorHAnsi" w:hAnsiTheme="minorHAnsi" w:cstheme="minorHAnsi"/>
                <w:sz w:val="22"/>
                <w:lang w:val="nl-BE"/>
              </w:rPr>
              <w:t xml:space="preserve"> "</w:t>
            </w:r>
            <w:proofErr w:type="spellStart"/>
            <w:r w:rsidRPr="005305CD">
              <w:rPr>
                <w:rFonts w:asciiTheme="minorHAnsi" w:hAnsiTheme="minorHAnsi" w:cstheme="minorHAnsi"/>
                <w:sz w:val="22"/>
                <w:lang w:val="nl-BE"/>
              </w:rPr>
              <w:t>Much</w:t>
            </w:r>
            <w:proofErr w:type="spellEnd"/>
            <w:r w:rsidRPr="005305CD">
              <w:rPr>
                <w:rFonts w:asciiTheme="minorHAnsi" w:hAnsiTheme="minorHAnsi" w:cstheme="minorHAnsi"/>
                <w:sz w:val="22"/>
                <w:lang w:val="nl-BE"/>
              </w:rPr>
              <w:t xml:space="preserve"> more </w:t>
            </w:r>
            <w:proofErr w:type="spellStart"/>
            <w:r w:rsidRPr="005305CD">
              <w:rPr>
                <w:rFonts w:asciiTheme="minorHAnsi" w:hAnsiTheme="minorHAnsi" w:cstheme="minorHAnsi"/>
                <w:sz w:val="22"/>
                <w:lang w:val="nl-BE"/>
              </w:rPr>
              <w:t>than</w:t>
            </w:r>
            <w:proofErr w:type="spellEnd"/>
            <w:r w:rsidRPr="005305CD">
              <w:rPr>
                <w:rFonts w:asciiTheme="minorHAnsi" w:hAnsiTheme="minorHAnsi" w:cstheme="minorHAnsi"/>
                <w:sz w:val="22"/>
                <w:lang w:val="nl-BE"/>
              </w:rPr>
              <w:t xml:space="preserve"> a Market" (april 2024);</w:t>
            </w:r>
          </w:p>
        </w:tc>
        <w:tc>
          <w:tcPr>
            <w:tcW w:w="4809" w:type="dxa"/>
            <w:shd w:val="clear" w:color="auto" w:fill="auto"/>
          </w:tcPr>
          <w:p w14:paraId="68CC5286" w14:textId="2EDEB91A" w:rsidR="00A6665F" w:rsidRPr="005305CD" w:rsidRDefault="00A6665F" w:rsidP="00A6665F">
            <w:pPr>
              <w:pStyle w:val="NoSpacing"/>
              <w:numPr>
                <w:ilvl w:val="0"/>
                <w:numId w:val="17"/>
              </w:numPr>
              <w:ind w:left="313"/>
              <w:rPr>
                <w:rFonts w:asciiTheme="minorHAnsi" w:hAnsiTheme="minorHAnsi" w:cstheme="minorHAnsi"/>
                <w:sz w:val="22"/>
                <w:lang w:val="fr-FR"/>
              </w:rPr>
            </w:pPr>
            <w:r w:rsidRPr="005305CD">
              <w:rPr>
                <w:rFonts w:asciiTheme="minorHAnsi" w:hAnsiTheme="minorHAnsi" w:cstheme="minorHAnsi"/>
                <w:sz w:val="22"/>
                <w:lang w:val="fr-FR"/>
              </w:rPr>
              <w:t xml:space="preserve">Que la libre circulation de la recherche, de l'innovation, de la connaissance et de l'éducation est indispensable pour l'avenir du marché unique européen, comme le montre le </w:t>
            </w:r>
            <w:r w:rsidRPr="005305CD">
              <w:rPr>
                <w:rFonts w:asciiTheme="minorHAnsi" w:hAnsiTheme="minorHAnsi" w:cstheme="minorHAnsi"/>
                <w:sz w:val="22"/>
                <w:lang w:val="fr-FR"/>
              </w:rPr>
              <w:lastRenderedPageBreak/>
              <w:t xml:space="preserve">rapport </w:t>
            </w:r>
            <w:proofErr w:type="spellStart"/>
            <w:r w:rsidRPr="005305CD">
              <w:rPr>
                <w:rFonts w:asciiTheme="minorHAnsi" w:hAnsiTheme="minorHAnsi" w:cstheme="minorHAnsi"/>
                <w:sz w:val="22"/>
                <w:lang w:val="fr-FR"/>
              </w:rPr>
              <w:t>Letta</w:t>
            </w:r>
            <w:proofErr w:type="spellEnd"/>
            <w:r w:rsidRPr="005305CD">
              <w:rPr>
                <w:rFonts w:asciiTheme="minorHAnsi" w:hAnsiTheme="minorHAnsi" w:cstheme="minorHAnsi"/>
                <w:sz w:val="22"/>
                <w:lang w:val="fr-FR"/>
              </w:rPr>
              <w:t xml:space="preserve"> « Bien plus qu'un marché » (avril 2024) ;</w:t>
            </w:r>
          </w:p>
        </w:tc>
      </w:tr>
      <w:tr w:rsidR="005305CD" w:rsidRPr="005305CD" w14:paraId="6A2F40FC" w14:textId="77777777" w:rsidTr="005305CD">
        <w:tc>
          <w:tcPr>
            <w:tcW w:w="4828" w:type="dxa"/>
            <w:shd w:val="clear" w:color="auto" w:fill="auto"/>
          </w:tcPr>
          <w:p w14:paraId="7E874C8B" w14:textId="73782833"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lastRenderedPageBreak/>
              <w:t>Dat onderzoek en innovatie centraal staan in de nieuwe industriële strategie van de Europese Unie, zoals blijkt uit het rapport-</w:t>
            </w:r>
            <w:proofErr w:type="spellStart"/>
            <w:r w:rsidRPr="005305CD">
              <w:rPr>
                <w:rFonts w:asciiTheme="minorHAnsi" w:hAnsiTheme="minorHAnsi" w:cstheme="minorHAnsi"/>
                <w:sz w:val="22"/>
                <w:lang w:val="nl-BE"/>
              </w:rPr>
              <w:t>Draghi</w:t>
            </w:r>
            <w:proofErr w:type="spellEnd"/>
            <w:r w:rsidRPr="005305CD">
              <w:rPr>
                <w:rFonts w:asciiTheme="minorHAnsi" w:hAnsiTheme="minorHAnsi" w:cstheme="minorHAnsi"/>
                <w:sz w:val="22"/>
                <w:lang w:val="nl-BE"/>
              </w:rPr>
              <w:t xml:space="preserve"> “</w:t>
            </w:r>
            <w:r w:rsidRPr="005305CD">
              <w:rPr>
                <w:rFonts w:asciiTheme="minorHAnsi" w:hAnsiTheme="minorHAnsi" w:cstheme="minorHAnsi"/>
                <w:i/>
                <w:iCs/>
                <w:sz w:val="22"/>
                <w:lang w:val="nl-BE"/>
              </w:rPr>
              <w:t xml:space="preserve">The </w:t>
            </w:r>
            <w:proofErr w:type="spellStart"/>
            <w:r w:rsidRPr="005305CD">
              <w:rPr>
                <w:rFonts w:asciiTheme="minorHAnsi" w:hAnsiTheme="minorHAnsi" w:cstheme="minorHAnsi"/>
                <w:i/>
                <w:iCs/>
                <w:sz w:val="22"/>
                <w:lang w:val="nl-BE"/>
              </w:rPr>
              <w:t>future</w:t>
            </w:r>
            <w:proofErr w:type="spellEnd"/>
            <w:r w:rsidRPr="005305CD">
              <w:rPr>
                <w:rFonts w:asciiTheme="minorHAnsi" w:hAnsiTheme="minorHAnsi" w:cstheme="minorHAnsi"/>
                <w:i/>
                <w:iCs/>
                <w:sz w:val="22"/>
                <w:lang w:val="nl-BE"/>
              </w:rPr>
              <w:t xml:space="preserve"> of European </w:t>
            </w:r>
            <w:proofErr w:type="spellStart"/>
            <w:r w:rsidRPr="005305CD">
              <w:rPr>
                <w:rFonts w:asciiTheme="minorHAnsi" w:hAnsiTheme="minorHAnsi" w:cstheme="minorHAnsi"/>
                <w:i/>
                <w:iCs/>
                <w:sz w:val="22"/>
                <w:lang w:val="nl-BE"/>
              </w:rPr>
              <w:t>competitiveness</w:t>
            </w:r>
            <w:proofErr w:type="spellEnd"/>
            <w:r w:rsidRPr="005305CD">
              <w:rPr>
                <w:rFonts w:asciiTheme="minorHAnsi" w:hAnsiTheme="minorHAnsi" w:cstheme="minorHAnsi"/>
                <w:sz w:val="22"/>
                <w:lang w:val="nl-BE"/>
              </w:rPr>
              <w:t xml:space="preserve">”  (september 2024);               </w:t>
            </w:r>
          </w:p>
        </w:tc>
        <w:tc>
          <w:tcPr>
            <w:tcW w:w="4809" w:type="dxa"/>
            <w:shd w:val="clear" w:color="auto" w:fill="auto"/>
          </w:tcPr>
          <w:p w14:paraId="27906995" w14:textId="689A2560" w:rsidR="00A6665F" w:rsidRPr="005305CD" w:rsidRDefault="00A6665F" w:rsidP="00A6665F">
            <w:pPr>
              <w:pStyle w:val="ListParagraph"/>
              <w:numPr>
                <w:ilvl w:val="0"/>
                <w:numId w:val="17"/>
              </w:numPr>
              <w:spacing w:after="0"/>
              <w:ind w:left="310" w:hanging="376"/>
              <w:jc w:val="left"/>
              <w:rPr>
                <w:rFonts w:asciiTheme="minorHAnsi" w:hAnsiTheme="minorHAnsi" w:cstheme="minorHAnsi"/>
                <w:sz w:val="22"/>
                <w:lang w:val="fr-FR"/>
              </w:rPr>
            </w:pPr>
            <w:r w:rsidRPr="005305CD">
              <w:rPr>
                <w:rFonts w:asciiTheme="minorHAnsi" w:hAnsiTheme="minorHAnsi" w:cstheme="minorHAnsi"/>
                <w:sz w:val="22"/>
                <w:lang w:val="fr-FR"/>
              </w:rPr>
              <w:t xml:space="preserve">Que la recherche et l'innovation sont au cœur de la nouvelle stratégie industrielle de l'Union européenne, comme en témoigne le rapport Draghi intitulé « L'avenir de la compétitivité européenne » (septembre 2024) ;               </w:t>
            </w:r>
          </w:p>
        </w:tc>
      </w:tr>
      <w:tr w:rsidR="005305CD" w:rsidRPr="005305CD" w14:paraId="470F5CA5" w14:textId="77777777" w:rsidTr="005305CD">
        <w:tc>
          <w:tcPr>
            <w:tcW w:w="4828" w:type="dxa"/>
            <w:shd w:val="clear" w:color="auto" w:fill="auto"/>
          </w:tcPr>
          <w:p w14:paraId="168C1F1E" w14:textId="2DC91564"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Dat meer juridisch bindende initiatieven nodig zijn om tot een consistente uitvoering van de automatische erkenning van diploma’s en beroepskwalificaties;</w:t>
            </w:r>
          </w:p>
        </w:tc>
        <w:tc>
          <w:tcPr>
            <w:tcW w:w="4809" w:type="dxa"/>
            <w:shd w:val="clear" w:color="auto" w:fill="auto"/>
          </w:tcPr>
          <w:p w14:paraId="18927E98" w14:textId="258F99E4"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Qu'il est nécessaire de prendre des initiatives plus contraignantes sur le plan juridique pour parvenir à une mise en œuvre cohérente de la reconnaissance automatique des diplômes et des qualifications professionnels ;</w:t>
            </w:r>
          </w:p>
        </w:tc>
      </w:tr>
      <w:tr w:rsidR="005305CD" w:rsidRPr="005305CD" w14:paraId="76504062" w14:textId="77777777" w:rsidTr="005305CD">
        <w:tc>
          <w:tcPr>
            <w:tcW w:w="4828" w:type="dxa"/>
            <w:shd w:val="clear" w:color="auto" w:fill="auto"/>
          </w:tcPr>
          <w:p w14:paraId="45A55D15" w14:textId="2F46A711"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Dat open grenzen voor talent economische voordelen met zich meebrengen, gelet op de enorme personeelstekorten en haperende innovatiekracht van de lidstaten van de Benelux Unie;</w:t>
            </w:r>
          </w:p>
        </w:tc>
        <w:tc>
          <w:tcPr>
            <w:tcW w:w="4809" w:type="dxa"/>
            <w:shd w:val="clear" w:color="auto" w:fill="auto"/>
          </w:tcPr>
          <w:p w14:paraId="73F0C205" w14:textId="10584C1C"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Que l'ouverture des frontières aux talents pourrait générer des avantages économiques, en réponse aux importantes pénuries de main-d'œuvre et à la faible capacité d'innovation des États membres de l'Union Benelux ;</w:t>
            </w:r>
          </w:p>
        </w:tc>
      </w:tr>
      <w:tr w:rsidR="005305CD" w:rsidRPr="005305CD" w14:paraId="2D144D4A" w14:textId="77777777" w:rsidTr="005305CD">
        <w:tc>
          <w:tcPr>
            <w:tcW w:w="4828" w:type="dxa"/>
            <w:shd w:val="clear" w:color="auto" w:fill="auto"/>
          </w:tcPr>
          <w:p w14:paraId="53810A5B" w14:textId="065E23AD"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Dat ook voor de studenten het grensoverschrijdend studeren een waarde is die belangrijk is voor de verdere persoonlijke ontwikkeling;</w:t>
            </w:r>
          </w:p>
        </w:tc>
        <w:tc>
          <w:tcPr>
            <w:tcW w:w="4809" w:type="dxa"/>
            <w:shd w:val="clear" w:color="auto" w:fill="auto"/>
          </w:tcPr>
          <w:p w14:paraId="18772006" w14:textId="67FBC13A"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 xml:space="preserve">Que des études transfrontalières sont également </w:t>
            </w:r>
            <w:r w:rsidR="009B6AA3" w:rsidRPr="005305CD">
              <w:rPr>
                <w:rFonts w:asciiTheme="minorHAnsi" w:hAnsiTheme="minorHAnsi" w:cstheme="minorHAnsi"/>
                <w:sz w:val="22"/>
                <w:lang w:val="fr-FR"/>
              </w:rPr>
              <w:t>un atout</w:t>
            </w:r>
            <w:r w:rsidRPr="005305CD">
              <w:rPr>
                <w:rFonts w:asciiTheme="minorHAnsi" w:hAnsiTheme="minorHAnsi" w:cstheme="minorHAnsi"/>
                <w:sz w:val="22"/>
                <w:lang w:val="fr-FR"/>
              </w:rPr>
              <w:t xml:space="preserve"> pour les étudiants et sont importantes pour leur développement personnel ;</w:t>
            </w:r>
          </w:p>
        </w:tc>
      </w:tr>
      <w:tr w:rsidR="005305CD" w:rsidRPr="005305CD" w14:paraId="52872FC8" w14:textId="77777777" w:rsidTr="005305CD">
        <w:tc>
          <w:tcPr>
            <w:tcW w:w="4828" w:type="dxa"/>
            <w:shd w:val="clear" w:color="auto" w:fill="auto"/>
          </w:tcPr>
          <w:p w14:paraId="28B7D41C" w14:textId="442CE0CF" w:rsidR="00A6665F" w:rsidRPr="005305CD" w:rsidRDefault="00A6665F" w:rsidP="0096474D">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Dat het Verdrag van 14 september 2021 betreffende de automatische erkenning van diploma’s in het hoger onderwijs een blauwdruk is voor de rest van de Europese Unie;</w:t>
            </w:r>
          </w:p>
        </w:tc>
        <w:tc>
          <w:tcPr>
            <w:tcW w:w="4809" w:type="dxa"/>
            <w:shd w:val="clear" w:color="auto" w:fill="auto"/>
          </w:tcPr>
          <w:p w14:paraId="2F510706" w14:textId="26B0EE25" w:rsidR="00A6665F" w:rsidRPr="005305CD" w:rsidRDefault="00A6665F" w:rsidP="0096474D">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Que le Traité du 14 septembre 2021 sur la reconnaissance automatique des qualifications de l’enseignement supérieur est un modèle pour le reste de l'Union européenne ;</w:t>
            </w:r>
          </w:p>
        </w:tc>
      </w:tr>
      <w:tr w:rsidR="005305CD" w:rsidRPr="005305CD" w14:paraId="695A9BF1" w14:textId="77777777" w:rsidTr="005305CD">
        <w:tc>
          <w:tcPr>
            <w:tcW w:w="4828" w:type="dxa"/>
            <w:shd w:val="clear" w:color="auto" w:fill="auto"/>
          </w:tcPr>
          <w:p w14:paraId="2932FE30" w14:textId="59D870CB" w:rsidR="0096474D" w:rsidRPr="005305CD" w:rsidRDefault="0096474D" w:rsidP="0096474D">
            <w:pPr>
              <w:pStyle w:val="NoSpacing"/>
              <w:numPr>
                <w:ilvl w:val="0"/>
                <w:numId w:val="17"/>
              </w:numPr>
              <w:ind w:left="319"/>
              <w:rPr>
                <w:rFonts w:asciiTheme="minorHAnsi" w:hAnsiTheme="minorHAnsi" w:cstheme="minorBidi"/>
                <w:sz w:val="22"/>
                <w:lang w:val="nl-BE"/>
              </w:rPr>
            </w:pPr>
            <w:r w:rsidRPr="005305CD">
              <w:rPr>
                <w:rFonts w:asciiTheme="minorHAnsi" w:hAnsiTheme="minorHAnsi" w:cstheme="minorBidi"/>
                <w:sz w:val="22"/>
                <w:lang w:val="nl-BE"/>
              </w:rPr>
              <w:t>Dat de Benelux-organen bij hun werkzaamheden inzake de erkenning van academische diploma's en beroepskwalificaties rekening houden met de specifieke kenmerken van academische en professionele erkenning;</w:t>
            </w:r>
          </w:p>
        </w:tc>
        <w:tc>
          <w:tcPr>
            <w:tcW w:w="4809" w:type="dxa"/>
            <w:shd w:val="clear" w:color="auto" w:fill="auto"/>
          </w:tcPr>
          <w:p w14:paraId="244E4285" w14:textId="75E900B6" w:rsidR="0096474D" w:rsidRPr="005305CD" w:rsidRDefault="0096474D" w:rsidP="0096474D">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Bidi"/>
                <w:sz w:val="22"/>
                <w:lang w:val="fr-FR"/>
              </w:rPr>
              <w:t>Que les instances du Benelux, dans leurs travaux sur la reconnaissance des diplômes académiques et des qualifications professionnelles, prennent en compte les particularités entre reconnaissances académique et professionnelle ;</w:t>
            </w:r>
          </w:p>
        </w:tc>
      </w:tr>
      <w:tr w:rsidR="005305CD" w:rsidRPr="005305CD" w14:paraId="42BC8C05" w14:textId="77777777" w:rsidTr="005305CD">
        <w:tc>
          <w:tcPr>
            <w:tcW w:w="4828" w:type="dxa"/>
            <w:shd w:val="clear" w:color="auto" w:fill="auto"/>
          </w:tcPr>
          <w:p w14:paraId="54ADFEDD" w14:textId="6A6166F2" w:rsidR="00A6665F" w:rsidRPr="005305CD" w:rsidRDefault="0096474D" w:rsidP="0096474D">
            <w:pPr>
              <w:pStyle w:val="NoSpacing"/>
              <w:numPr>
                <w:ilvl w:val="0"/>
                <w:numId w:val="17"/>
              </w:numPr>
              <w:ind w:left="322"/>
              <w:rPr>
                <w:rFonts w:asciiTheme="minorHAnsi" w:hAnsiTheme="minorHAnsi" w:cstheme="minorHAnsi"/>
                <w:sz w:val="22"/>
                <w:lang w:val="nl-BE"/>
              </w:rPr>
            </w:pPr>
            <w:r w:rsidRPr="005305CD">
              <w:rPr>
                <w:rFonts w:asciiTheme="minorHAnsi" w:hAnsiTheme="minorHAnsi" w:cstheme="minorHAnsi"/>
                <w:sz w:val="22"/>
                <w:lang w:val="nl-BE"/>
              </w:rPr>
              <w:t>Dat er innovatieve initiatieven in de landen en regio's rondom de Benelux en in andere regionale samenwerkingsverbanden ontstaan, en dat het van groot belang is om te evalueren in hoeverre het zinvol is om vervolgens deze initiatieven als inspiratie te gebruiken of om samen te werken met hen, met het oog op de voordelen die dit kan opleveren voor de Benelux-landen.</w:t>
            </w:r>
          </w:p>
        </w:tc>
        <w:tc>
          <w:tcPr>
            <w:tcW w:w="4809" w:type="dxa"/>
            <w:shd w:val="clear" w:color="auto" w:fill="auto"/>
          </w:tcPr>
          <w:p w14:paraId="32174B9D" w14:textId="797CAC0C" w:rsidR="00A6665F" w:rsidRPr="005305CD" w:rsidRDefault="0096474D" w:rsidP="0096474D">
            <w:pPr>
              <w:pStyle w:val="ListParagraph"/>
              <w:numPr>
                <w:ilvl w:val="0"/>
                <w:numId w:val="17"/>
              </w:numPr>
              <w:spacing w:after="0"/>
              <w:ind w:left="314"/>
              <w:rPr>
                <w:rFonts w:asciiTheme="minorHAnsi" w:hAnsiTheme="minorHAnsi" w:cstheme="minorHAnsi"/>
                <w:sz w:val="22"/>
                <w:lang w:val="fr-FR"/>
              </w:rPr>
            </w:pPr>
            <w:r w:rsidRPr="005305CD">
              <w:rPr>
                <w:rFonts w:asciiTheme="minorHAnsi" w:hAnsiTheme="minorHAnsi" w:cstheme="minorBidi"/>
                <w:sz w:val="22"/>
                <w:lang w:val="fr-FR"/>
              </w:rPr>
              <w:t>Que des initiatives innovantes émergent dans les pays et régions voisins du Benelux ainsi que dans d’autres groupements régionaux, et qu’il est crucial d'évaluer la pertinence de s'en inspirer ou de s'y associer, en tenant compte des bénéfices que cela pourrait engendrer pour les pays du Benelux.</w:t>
            </w:r>
          </w:p>
        </w:tc>
      </w:tr>
      <w:tr w:rsidR="005305CD" w:rsidRPr="005305CD" w14:paraId="108F7887" w14:textId="77777777" w:rsidTr="005305CD">
        <w:tc>
          <w:tcPr>
            <w:tcW w:w="4828" w:type="dxa"/>
            <w:shd w:val="clear" w:color="auto" w:fill="auto"/>
          </w:tcPr>
          <w:p w14:paraId="01005AE1" w14:textId="77777777" w:rsidR="00A6665F" w:rsidRPr="005305CD" w:rsidRDefault="00A6665F" w:rsidP="00A6665F">
            <w:pPr>
              <w:spacing w:after="0"/>
              <w:jc w:val="left"/>
              <w:rPr>
                <w:rFonts w:asciiTheme="minorHAnsi" w:hAnsiTheme="minorHAnsi" w:cstheme="minorHAnsi"/>
                <w:sz w:val="22"/>
                <w:lang w:val="fr-FR" w:bidi="ar-SA"/>
              </w:rPr>
            </w:pPr>
          </w:p>
        </w:tc>
        <w:tc>
          <w:tcPr>
            <w:tcW w:w="4809" w:type="dxa"/>
            <w:shd w:val="clear" w:color="auto" w:fill="auto"/>
          </w:tcPr>
          <w:p w14:paraId="05AB1D4B" w14:textId="77777777" w:rsidR="00A6665F" w:rsidRPr="005305CD" w:rsidRDefault="00A6665F" w:rsidP="00A6665F">
            <w:pPr>
              <w:pStyle w:val="NoSpacing"/>
              <w:jc w:val="left"/>
              <w:rPr>
                <w:rFonts w:asciiTheme="minorHAnsi" w:hAnsiTheme="minorHAnsi" w:cstheme="minorHAnsi"/>
                <w:sz w:val="22"/>
                <w:lang w:val="fr-FR"/>
              </w:rPr>
            </w:pPr>
          </w:p>
        </w:tc>
      </w:tr>
      <w:tr w:rsidR="005305CD" w:rsidRPr="005305CD" w14:paraId="231D6695" w14:textId="77777777" w:rsidTr="005305CD">
        <w:tc>
          <w:tcPr>
            <w:tcW w:w="4828" w:type="dxa"/>
            <w:shd w:val="clear" w:color="auto" w:fill="auto"/>
          </w:tcPr>
          <w:p w14:paraId="6B0F8D71" w14:textId="237F6752" w:rsidR="00A6665F" w:rsidRPr="005305CD" w:rsidRDefault="00A6665F" w:rsidP="00A6665F">
            <w:pPr>
              <w:spacing w:after="0"/>
              <w:jc w:val="left"/>
              <w:rPr>
                <w:rFonts w:asciiTheme="minorHAnsi" w:hAnsiTheme="minorHAnsi" w:cstheme="minorHAnsi"/>
                <w:b/>
                <w:bCs/>
                <w:sz w:val="22"/>
                <w:lang w:val="fr-FR"/>
              </w:rPr>
            </w:pPr>
            <w:r w:rsidRPr="005305CD">
              <w:rPr>
                <w:rFonts w:asciiTheme="minorHAnsi" w:hAnsiTheme="minorHAnsi" w:cstheme="minorHAnsi"/>
                <w:b/>
                <w:bCs/>
                <w:sz w:val="22"/>
                <w:lang w:val="nl-NL" w:bidi="ar-SA"/>
              </w:rPr>
              <w:t>VRAAGT DE REGERINGEN:</w:t>
            </w:r>
          </w:p>
        </w:tc>
        <w:tc>
          <w:tcPr>
            <w:tcW w:w="4809" w:type="dxa"/>
            <w:shd w:val="clear" w:color="auto" w:fill="auto"/>
          </w:tcPr>
          <w:p w14:paraId="4EB2240A" w14:textId="6893AF51" w:rsidR="00A6665F" w:rsidRPr="005305CD" w:rsidRDefault="00A6665F" w:rsidP="00A6665F">
            <w:pPr>
              <w:pStyle w:val="NoSpacing"/>
              <w:jc w:val="left"/>
              <w:rPr>
                <w:rFonts w:asciiTheme="minorHAnsi" w:hAnsiTheme="minorHAnsi" w:cstheme="minorHAnsi"/>
                <w:b/>
                <w:bCs/>
                <w:sz w:val="22"/>
                <w:lang w:val="fr-FR"/>
              </w:rPr>
            </w:pPr>
            <w:r w:rsidRPr="005305CD">
              <w:rPr>
                <w:rFonts w:asciiTheme="minorHAnsi" w:hAnsiTheme="minorHAnsi" w:cstheme="minorHAnsi"/>
                <w:b/>
                <w:bCs/>
                <w:sz w:val="22"/>
                <w:lang w:val="fr-BE"/>
              </w:rPr>
              <w:t xml:space="preserve"> DEMANDE AUX GOUVERNEMENTS :</w:t>
            </w:r>
          </w:p>
        </w:tc>
      </w:tr>
      <w:tr w:rsidR="005305CD" w:rsidRPr="005305CD" w14:paraId="3A95144F" w14:textId="77777777" w:rsidTr="005305CD">
        <w:trPr>
          <w:trHeight w:val="300"/>
        </w:trPr>
        <w:tc>
          <w:tcPr>
            <w:tcW w:w="4828" w:type="dxa"/>
            <w:shd w:val="clear" w:color="auto" w:fill="auto"/>
          </w:tcPr>
          <w:p w14:paraId="39F51887" w14:textId="77777777" w:rsidR="00A6665F" w:rsidRPr="005305CD" w:rsidRDefault="00A6665F" w:rsidP="00A6665F">
            <w:pPr>
              <w:spacing w:after="0"/>
              <w:jc w:val="left"/>
              <w:rPr>
                <w:rFonts w:asciiTheme="minorHAnsi" w:hAnsiTheme="minorHAnsi" w:cstheme="minorHAnsi"/>
                <w:sz w:val="22"/>
                <w:lang w:val="nl-BE" w:bidi="ar-SA"/>
              </w:rPr>
            </w:pPr>
          </w:p>
        </w:tc>
        <w:tc>
          <w:tcPr>
            <w:tcW w:w="4809" w:type="dxa"/>
            <w:shd w:val="clear" w:color="auto" w:fill="auto"/>
          </w:tcPr>
          <w:p w14:paraId="0ABAC7F1" w14:textId="77777777" w:rsidR="00A6665F" w:rsidRPr="005305CD" w:rsidRDefault="00A6665F" w:rsidP="00A6665F">
            <w:pPr>
              <w:pStyle w:val="NoSpacing"/>
              <w:jc w:val="left"/>
              <w:rPr>
                <w:rFonts w:asciiTheme="minorHAnsi" w:hAnsiTheme="minorHAnsi" w:cstheme="minorHAnsi"/>
                <w:b/>
                <w:bCs/>
                <w:sz w:val="22"/>
                <w:lang w:val="fr-BE"/>
              </w:rPr>
            </w:pPr>
          </w:p>
        </w:tc>
      </w:tr>
      <w:tr w:rsidR="005305CD" w:rsidRPr="005305CD" w14:paraId="1AA5CEEC" w14:textId="77777777" w:rsidTr="005305CD">
        <w:tc>
          <w:tcPr>
            <w:tcW w:w="4828" w:type="dxa"/>
            <w:shd w:val="clear" w:color="auto" w:fill="auto"/>
          </w:tcPr>
          <w:p w14:paraId="29F4FD4C" w14:textId="44BD02BC"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Om op Benelux niveau, </w:t>
            </w:r>
            <w:r w:rsidRPr="005305CD">
              <w:rPr>
                <w:rFonts w:asciiTheme="minorHAnsi" w:hAnsiTheme="minorHAnsi" w:cstheme="minorBidi"/>
                <w:sz w:val="22"/>
                <w:lang w:val="nl-BE"/>
              </w:rPr>
              <w:t xml:space="preserve">naast de op Europees niveau gelanceerde initiatieven, </w:t>
            </w:r>
            <w:r w:rsidRPr="005305CD">
              <w:rPr>
                <w:rFonts w:asciiTheme="minorHAnsi" w:hAnsiTheme="minorHAnsi" w:cstheme="minorHAnsi"/>
                <w:sz w:val="22"/>
                <w:lang w:val="nl-BE"/>
              </w:rPr>
              <w:t>de aanbevelingen van</w:t>
            </w:r>
            <w:r w:rsidRPr="005305CD">
              <w:rPr>
                <w:lang w:val="nl-BE"/>
              </w:rPr>
              <w:t xml:space="preserve"> </w:t>
            </w:r>
            <w:r w:rsidRPr="005305CD">
              <w:rPr>
                <w:rFonts w:asciiTheme="minorHAnsi" w:hAnsiTheme="minorHAnsi" w:cstheme="minorHAnsi"/>
                <w:sz w:val="22"/>
                <w:lang w:val="nl-BE"/>
              </w:rPr>
              <w:t xml:space="preserve">het speciaal </w:t>
            </w:r>
            <w:r w:rsidR="004B77A4" w:rsidRPr="005305CD">
              <w:rPr>
                <w:rFonts w:asciiTheme="minorHAnsi" w:hAnsiTheme="minorHAnsi" w:cstheme="minorHAnsi"/>
                <w:sz w:val="22"/>
                <w:lang w:val="nl-BE"/>
              </w:rPr>
              <w:t>V</w:t>
            </w:r>
            <w:r w:rsidRPr="005305CD">
              <w:rPr>
                <w:rFonts w:asciiTheme="minorHAnsi" w:hAnsiTheme="minorHAnsi" w:cstheme="minorHAnsi"/>
                <w:sz w:val="22"/>
                <w:lang w:val="nl-BE"/>
              </w:rPr>
              <w:t xml:space="preserve">erslag 10/2024 “De erkenning van beroepskwalificaties in de EU – Een essentieel, maar mondjesmaat en inconsistent gebruikt mechanisme” van de Europese Rekenkamer uit te voeren, met name op het punt van de uniforme toepassing van het stelsel van de beroepskwalificaties en een betere toepassing van het </w:t>
            </w:r>
            <w:r w:rsidRPr="005305CD">
              <w:rPr>
                <w:rFonts w:asciiTheme="minorHAnsi" w:hAnsiTheme="minorHAnsi" w:cstheme="minorHAnsi"/>
                <w:sz w:val="22"/>
                <w:lang w:val="nl-BE"/>
              </w:rPr>
              <w:lastRenderedPageBreak/>
              <w:t>waarschuwingsmechanisme in de erkenningsprocedure;</w:t>
            </w:r>
          </w:p>
        </w:tc>
        <w:tc>
          <w:tcPr>
            <w:tcW w:w="4809" w:type="dxa"/>
            <w:shd w:val="clear" w:color="auto" w:fill="auto"/>
          </w:tcPr>
          <w:p w14:paraId="36A608A1" w14:textId="0E9E88D5" w:rsidR="00A6665F" w:rsidRPr="005305CD" w:rsidRDefault="00A6665F" w:rsidP="00A6665F">
            <w:pPr>
              <w:pStyle w:val="ListParagraph"/>
              <w:numPr>
                <w:ilvl w:val="0"/>
                <w:numId w:val="17"/>
              </w:numPr>
              <w:spacing w:after="0"/>
              <w:ind w:left="312"/>
              <w:rPr>
                <w:rFonts w:asciiTheme="minorHAnsi" w:hAnsiTheme="minorHAnsi" w:cstheme="minorHAnsi"/>
                <w:sz w:val="22"/>
                <w:lang w:val="fr-FR"/>
              </w:rPr>
            </w:pPr>
            <w:r w:rsidRPr="005305CD">
              <w:rPr>
                <w:rFonts w:asciiTheme="minorHAnsi" w:hAnsiTheme="minorHAnsi" w:cstheme="minorHAnsi"/>
                <w:sz w:val="22"/>
                <w:lang w:val="fr-FR"/>
              </w:rPr>
              <w:lastRenderedPageBreak/>
              <w:t xml:space="preserve">De mettre en œuvre au niveau du Benelux, </w:t>
            </w:r>
            <w:r w:rsidRPr="005305CD">
              <w:rPr>
                <w:rFonts w:asciiTheme="minorHAnsi" w:hAnsiTheme="minorHAnsi" w:cstheme="minorBidi"/>
                <w:sz w:val="22"/>
                <w:lang w:val="fr-BE"/>
              </w:rPr>
              <w:t xml:space="preserve">en complément des initiatives lancées au niveau européen, </w:t>
            </w:r>
            <w:r w:rsidRPr="005305CD">
              <w:rPr>
                <w:rFonts w:asciiTheme="minorHAnsi" w:hAnsiTheme="minorHAnsi" w:cstheme="minorHAnsi"/>
                <w:sz w:val="22"/>
                <w:lang w:val="fr-FR"/>
              </w:rPr>
              <w:t xml:space="preserve"> les recommandations du </w:t>
            </w:r>
            <w:r w:rsidR="004B77A4" w:rsidRPr="005305CD">
              <w:rPr>
                <w:rFonts w:asciiTheme="minorHAnsi" w:hAnsiTheme="minorHAnsi" w:cstheme="minorHAnsi"/>
                <w:sz w:val="22"/>
                <w:lang w:val="fr-FR"/>
              </w:rPr>
              <w:t>R</w:t>
            </w:r>
            <w:r w:rsidRPr="005305CD">
              <w:rPr>
                <w:rFonts w:asciiTheme="minorHAnsi" w:hAnsiTheme="minorHAnsi" w:cstheme="minorHAnsi"/>
                <w:sz w:val="22"/>
                <w:lang w:val="fr-FR"/>
              </w:rPr>
              <w:t xml:space="preserve">apport spécial 10/2024 de la Cour des comptes européenne intitulé « Reconnaissance des qualifications professionnelles dans l’Union européenne – Un mécanisme essentiel, mais utilisé de manière sporadique et incohérente » </w:t>
            </w:r>
            <w:r w:rsidRPr="005305CD">
              <w:rPr>
                <w:rFonts w:asciiTheme="minorHAnsi" w:hAnsiTheme="minorHAnsi" w:cstheme="minorBidi"/>
                <w:sz w:val="22"/>
                <w:lang w:val="fr-BE"/>
              </w:rPr>
              <w:t xml:space="preserve">notamment en ce qui concerne l’application uniforme du système des qualifications </w:t>
            </w:r>
            <w:r w:rsidRPr="005305CD">
              <w:rPr>
                <w:rFonts w:asciiTheme="minorHAnsi" w:hAnsiTheme="minorHAnsi" w:cstheme="minorBidi"/>
                <w:sz w:val="22"/>
                <w:lang w:val="fr-BE"/>
              </w:rPr>
              <w:lastRenderedPageBreak/>
              <w:t>professionnelles et une meilleure application du mécanisme d’alerte dans la procédure de reconnaissance ;</w:t>
            </w:r>
          </w:p>
        </w:tc>
      </w:tr>
      <w:tr w:rsidR="005305CD" w:rsidRPr="005305CD" w14:paraId="2AD3F24D" w14:textId="77777777" w:rsidTr="005305CD">
        <w:tc>
          <w:tcPr>
            <w:tcW w:w="4828" w:type="dxa"/>
            <w:shd w:val="clear" w:color="auto" w:fill="auto"/>
          </w:tcPr>
          <w:p w14:paraId="42915B95" w14:textId="6D267557"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lastRenderedPageBreak/>
              <w:t xml:space="preserve">Om op korte termijn, </w:t>
            </w:r>
            <w:r w:rsidRPr="005305CD">
              <w:rPr>
                <w:rFonts w:asciiTheme="minorHAnsi" w:hAnsiTheme="minorHAnsi" w:cstheme="minorBidi"/>
                <w:sz w:val="22"/>
                <w:lang w:val="nl-BE"/>
              </w:rPr>
              <w:t xml:space="preserve">naast de op Europees niveau gelanceerde initiatieven, </w:t>
            </w:r>
            <w:r w:rsidRPr="005305CD">
              <w:rPr>
                <w:rFonts w:asciiTheme="minorHAnsi" w:hAnsiTheme="minorHAnsi" w:cstheme="minorHAnsi"/>
                <w:sz w:val="22"/>
                <w:lang w:val="nl-BE"/>
              </w:rPr>
              <w:t>verdere stappen te ondernemen om de bureaucratie te verminderen, de kosten te doen dalen, de snelheid van afhandeling te verhogen en andere obstakels uit de weg te ruimen voor de onderdanen die een diploma hoger onderwijs  of een beroepskwalificatie wil</w:t>
            </w:r>
            <w:r w:rsidR="001C3EA4" w:rsidRPr="005305CD">
              <w:rPr>
                <w:rFonts w:asciiTheme="minorHAnsi" w:hAnsiTheme="minorHAnsi" w:cstheme="minorHAnsi"/>
                <w:sz w:val="22"/>
                <w:lang w:val="nl-BE"/>
              </w:rPr>
              <w:t>len</w:t>
            </w:r>
            <w:r w:rsidRPr="005305CD">
              <w:rPr>
                <w:rFonts w:asciiTheme="minorHAnsi" w:hAnsiTheme="minorHAnsi" w:cstheme="minorHAnsi"/>
                <w:sz w:val="22"/>
                <w:lang w:val="nl-BE"/>
              </w:rPr>
              <w:t xml:space="preserve"> laten erkennen in een ander land van de Benelux Unie, en hierover een informatiecampagne op te zetten;</w:t>
            </w:r>
          </w:p>
        </w:tc>
        <w:tc>
          <w:tcPr>
            <w:tcW w:w="4809" w:type="dxa"/>
            <w:shd w:val="clear" w:color="auto" w:fill="auto"/>
          </w:tcPr>
          <w:p w14:paraId="5D734968" w14:textId="5054E5C2" w:rsidR="00A6665F" w:rsidRPr="005305CD" w:rsidRDefault="00A6665F" w:rsidP="00A6665F">
            <w:pPr>
              <w:pStyle w:val="ListParagraph"/>
              <w:numPr>
                <w:ilvl w:val="0"/>
                <w:numId w:val="17"/>
              </w:numPr>
              <w:spacing w:after="0"/>
              <w:ind w:left="312"/>
              <w:rPr>
                <w:rFonts w:asciiTheme="minorHAnsi" w:hAnsiTheme="minorHAnsi" w:cstheme="minorHAnsi"/>
                <w:sz w:val="22"/>
                <w:lang w:val="fr-FR"/>
              </w:rPr>
            </w:pPr>
            <w:r w:rsidRPr="005305CD">
              <w:rPr>
                <w:rFonts w:asciiTheme="minorHAnsi" w:hAnsiTheme="minorHAnsi" w:cstheme="minorHAnsi"/>
                <w:sz w:val="22"/>
                <w:lang w:val="fr-FR"/>
              </w:rPr>
              <w:t xml:space="preserve">De prendre des mesures supplémentaires à court terme, </w:t>
            </w:r>
            <w:r w:rsidRPr="005305CD">
              <w:rPr>
                <w:rFonts w:asciiTheme="minorHAnsi" w:hAnsiTheme="minorHAnsi" w:cstheme="minorBidi"/>
                <w:sz w:val="22"/>
                <w:lang w:val="fr-BE"/>
              </w:rPr>
              <w:t>en complément des initiatives lancées au niveau européen,</w:t>
            </w:r>
            <w:r w:rsidRPr="005305CD">
              <w:rPr>
                <w:rFonts w:asciiTheme="minorHAnsi" w:hAnsiTheme="minorHAnsi" w:cstheme="minorHAnsi"/>
                <w:sz w:val="22"/>
                <w:lang w:val="fr-FR"/>
              </w:rPr>
              <w:t xml:space="preserve"> pour réduire la bureaucratie, les coûts, augmenter la rapidité de traitement et supprimer d'autres obstacles pour les citoyens qui souhaitent faire reconnaître un diplôme d’enseignement supérieur ou une qualification professionnelle dans un autre pays de l'Union Benelux, et de lancer une campagne d'information à ce sujet ;</w:t>
            </w:r>
          </w:p>
        </w:tc>
      </w:tr>
      <w:tr w:rsidR="005305CD" w:rsidRPr="005305CD" w14:paraId="747191A6" w14:textId="77777777" w:rsidTr="005305CD">
        <w:tc>
          <w:tcPr>
            <w:tcW w:w="4828" w:type="dxa"/>
            <w:shd w:val="clear" w:color="auto" w:fill="auto"/>
          </w:tcPr>
          <w:p w14:paraId="744825DC" w14:textId="07E189BD"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Om op korte termijn op het niveau van de Benelux een proefproject op te starten in verband met de automatische en wederzijdse erkenning van diploma’s en beroepskwalificaties en in een bepaalde sector of voor een bepaald beroep, zoals bijvoorbeeld “</w:t>
            </w:r>
            <w:proofErr w:type="spellStart"/>
            <w:r w:rsidRPr="005305CD">
              <w:rPr>
                <w:rFonts w:asciiTheme="minorHAnsi" w:hAnsiTheme="minorHAnsi" w:cstheme="minorHAnsi"/>
                <w:i/>
                <w:iCs/>
                <w:sz w:val="22"/>
                <w:lang w:val="nl-BE"/>
              </w:rPr>
              <w:t>automechatroniker</w:t>
            </w:r>
            <w:proofErr w:type="spellEnd"/>
            <w:r w:rsidRPr="005305CD">
              <w:rPr>
                <w:rFonts w:asciiTheme="minorHAnsi" w:hAnsiTheme="minorHAnsi" w:cstheme="minorHAnsi"/>
                <w:sz w:val="22"/>
                <w:lang w:val="nl-BE"/>
              </w:rPr>
              <w:t>” en</w:t>
            </w:r>
            <w:r w:rsidRPr="005305CD">
              <w:rPr>
                <w:lang w:val="nl-BE"/>
              </w:rPr>
              <w:t xml:space="preserve"> </w:t>
            </w:r>
            <w:r w:rsidRPr="005305CD">
              <w:rPr>
                <w:rFonts w:asciiTheme="minorHAnsi" w:hAnsiTheme="minorHAnsi" w:cstheme="minorHAnsi"/>
                <w:sz w:val="22"/>
                <w:lang w:val="nl-BE"/>
              </w:rPr>
              <w:t>de resultaten van dit proefproject grondig te analyseren alvorens een automatische erkenning in te voeren i.e. op basis van geleidelijkheid, volgens een selectie van beroepskwalificaties.</w:t>
            </w:r>
          </w:p>
        </w:tc>
        <w:tc>
          <w:tcPr>
            <w:tcW w:w="4809" w:type="dxa"/>
            <w:shd w:val="clear" w:color="auto" w:fill="auto"/>
          </w:tcPr>
          <w:p w14:paraId="0EE14DC7" w14:textId="73DB281D" w:rsidR="00A6665F" w:rsidRPr="005305CD" w:rsidRDefault="00A6665F" w:rsidP="00A6665F">
            <w:pPr>
              <w:pStyle w:val="ListParagraph"/>
              <w:numPr>
                <w:ilvl w:val="0"/>
                <w:numId w:val="17"/>
              </w:numPr>
              <w:spacing w:after="0"/>
              <w:ind w:left="312"/>
              <w:rPr>
                <w:rFonts w:asciiTheme="minorHAnsi" w:hAnsiTheme="minorHAnsi" w:cstheme="minorHAnsi"/>
                <w:sz w:val="22"/>
                <w:lang w:val="fr-FR"/>
              </w:rPr>
            </w:pPr>
            <w:r w:rsidRPr="005305CD">
              <w:rPr>
                <w:rFonts w:asciiTheme="minorHAnsi" w:hAnsiTheme="minorHAnsi" w:cstheme="minorHAnsi"/>
                <w:sz w:val="22"/>
                <w:lang w:val="fr-FR"/>
              </w:rPr>
              <w:t xml:space="preserve">De lancer à court terme au niveau du Benelux un projet pilote de reconnaissance automatique et mutuelle des diplômes et des qualifications professionnelles dans un secteur ou une  profession  spécifique, par exemple « </w:t>
            </w:r>
            <w:proofErr w:type="spellStart"/>
            <w:r w:rsidRPr="005305CD">
              <w:rPr>
                <w:rFonts w:asciiTheme="minorHAnsi" w:hAnsiTheme="minorHAnsi" w:cstheme="minorHAnsi"/>
                <w:i/>
                <w:iCs/>
                <w:sz w:val="22"/>
                <w:lang w:val="fr-FR"/>
              </w:rPr>
              <w:t>automechatroniker</w:t>
            </w:r>
            <w:proofErr w:type="spellEnd"/>
            <w:r w:rsidRPr="005305CD">
              <w:rPr>
                <w:rFonts w:asciiTheme="minorHAnsi" w:hAnsiTheme="minorHAnsi" w:cstheme="minorHAnsi"/>
                <w:sz w:val="22"/>
                <w:lang w:val="fr-FR"/>
              </w:rPr>
              <w:t xml:space="preserve"> » et </w:t>
            </w:r>
            <w:r w:rsidR="00F850B3" w:rsidRPr="005305CD">
              <w:rPr>
                <w:rFonts w:asciiTheme="minorHAnsi" w:hAnsiTheme="minorHAnsi" w:cstheme="minorHAnsi"/>
                <w:sz w:val="22"/>
                <w:lang w:val="fr-FR"/>
              </w:rPr>
              <w:t>d’</w:t>
            </w:r>
            <w:r w:rsidRPr="005305CD">
              <w:rPr>
                <w:rFonts w:asciiTheme="minorHAnsi" w:hAnsiTheme="minorHAnsi" w:cstheme="minorHAnsi"/>
                <w:sz w:val="22"/>
                <w:lang w:val="fr-FR"/>
              </w:rPr>
              <w:t>analyser de manière approfondie les résultats</w:t>
            </w:r>
            <w:r w:rsidR="00F850B3" w:rsidRPr="005305CD">
              <w:rPr>
                <w:rFonts w:asciiTheme="minorHAnsi" w:hAnsiTheme="minorHAnsi" w:cstheme="minorHAnsi"/>
                <w:sz w:val="22"/>
                <w:lang w:val="fr-FR"/>
              </w:rPr>
              <w:t>,</w:t>
            </w:r>
            <w:r w:rsidRPr="005305CD">
              <w:rPr>
                <w:rFonts w:asciiTheme="minorHAnsi" w:hAnsiTheme="minorHAnsi" w:cstheme="minorHAnsi"/>
                <w:sz w:val="22"/>
                <w:lang w:val="fr-FR"/>
              </w:rPr>
              <w:t xml:space="preserve"> avant d’introduire une reconnaissance automatique progressive</w:t>
            </w:r>
            <w:r w:rsidR="00F850B3" w:rsidRPr="005305CD">
              <w:rPr>
                <w:rFonts w:asciiTheme="minorHAnsi" w:hAnsiTheme="minorHAnsi" w:cstheme="minorHAnsi"/>
                <w:sz w:val="22"/>
                <w:lang w:val="fr-FR"/>
              </w:rPr>
              <w:t>,</w:t>
            </w:r>
            <w:r w:rsidRPr="005305CD">
              <w:rPr>
                <w:rFonts w:asciiTheme="minorHAnsi" w:hAnsiTheme="minorHAnsi" w:cstheme="minorHAnsi"/>
                <w:sz w:val="22"/>
                <w:lang w:val="fr-FR"/>
              </w:rPr>
              <w:t xml:space="preserve"> basée sur une sélection de qualifications professionnelles.</w:t>
            </w:r>
          </w:p>
        </w:tc>
      </w:tr>
      <w:tr w:rsidR="005305CD" w:rsidRPr="005305CD" w14:paraId="4C53695D" w14:textId="77777777" w:rsidTr="005305CD">
        <w:tc>
          <w:tcPr>
            <w:tcW w:w="4828" w:type="dxa"/>
            <w:shd w:val="clear" w:color="auto" w:fill="auto"/>
          </w:tcPr>
          <w:p w14:paraId="516A3173" w14:textId="552B5B1E"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Om op lange termijn de Beschikking M (2015) 3 van 18 mei 2015 van het Comité van Ministers van de Benelux Unie betreffende de automatische wederzijdse generieke niveauerkenning van diploma's hoger onderwijs en het Verdrag van 14 september 2021 betreffende de automatische erkenning van diploma’s in het hoger onderwijs uit te breiden naar andere diploma’s en beroepskwalificaties, weliswaar mits voldoende waarborgen op kwaliteit en transparantie van de gevolgde opleidingen;</w:t>
            </w:r>
          </w:p>
        </w:tc>
        <w:tc>
          <w:tcPr>
            <w:tcW w:w="4809" w:type="dxa"/>
            <w:shd w:val="clear" w:color="auto" w:fill="auto"/>
          </w:tcPr>
          <w:p w14:paraId="71F7D92C" w14:textId="6B0B1813" w:rsidR="00A6665F" w:rsidRPr="005305CD" w:rsidRDefault="00A6665F" w:rsidP="00A6665F">
            <w:pPr>
              <w:pStyle w:val="ListParagraph"/>
              <w:numPr>
                <w:ilvl w:val="0"/>
                <w:numId w:val="17"/>
              </w:numPr>
              <w:spacing w:after="0"/>
              <w:ind w:left="312"/>
              <w:rPr>
                <w:rFonts w:asciiTheme="minorHAnsi" w:hAnsiTheme="minorHAnsi" w:cstheme="minorHAnsi"/>
                <w:sz w:val="22"/>
                <w:lang w:val="fr-FR"/>
              </w:rPr>
            </w:pPr>
            <w:r w:rsidRPr="005305CD">
              <w:rPr>
                <w:rFonts w:asciiTheme="minorHAnsi" w:hAnsiTheme="minorHAnsi" w:cstheme="minorHAnsi"/>
                <w:sz w:val="22"/>
                <w:lang w:val="fr-FR"/>
              </w:rPr>
              <w:t xml:space="preserve">D’étendre à long terme la </w:t>
            </w:r>
            <w:r w:rsidR="006A25B1" w:rsidRPr="005305CD">
              <w:rPr>
                <w:rFonts w:asciiTheme="minorHAnsi" w:hAnsiTheme="minorHAnsi" w:cstheme="minorHAnsi"/>
                <w:sz w:val="22"/>
                <w:lang w:val="fr-FR"/>
              </w:rPr>
              <w:t>D</w:t>
            </w:r>
            <w:r w:rsidRPr="005305CD">
              <w:rPr>
                <w:rFonts w:asciiTheme="minorHAnsi" w:hAnsiTheme="minorHAnsi" w:cstheme="minorHAnsi"/>
                <w:sz w:val="22"/>
                <w:lang w:val="fr-FR"/>
              </w:rPr>
              <w:t xml:space="preserve">écision M (2015) 3 du 18 mai 2015 du Comité de </w:t>
            </w:r>
            <w:r w:rsidR="006A25B1" w:rsidRPr="005305CD">
              <w:rPr>
                <w:rFonts w:asciiTheme="minorHAnsi" w:hAnsiTheme="minorHAnsi" w:cstheme="minorHAnsi"/>
                <w:sz w:val="22"/>
                <w:lang w:val="fr-FR"/>
              </w:rPr>
              <w:t>M</w:t>
            </w:r>
            <w:r w:rsidRPr="005305CD">
              <w:rPr>
                <w:rFonts w:asciiTheme="minorHAnsi" w:hAnsiTheme="minorHAnsi" w:cstheme="minorHAnsi"/>
                <w:sz w:val="22"/>
                <w:lang w:val="fr-FR"/>
              </w:rPr>
              <w:t>inistres de l'Union Benelux sur la reconnaissance mutuelle générique automatique des diplômes d'enseignement supérieur et le Traité du 14 septembre 2021 sur la reconnaissance automatique mutuelle des qualifications de l’enseignement supérieur à d'autres diplômes et qualifications professionnelles, sous réserve toutefois de garanties suffisantes quant à la qualité et à la transparence des formations suivies ;</w:t>
            </w:r>
          </w:p>
        </w:tc>
      </w:tr>
      <w:tr w:rsidR="005305CD" w:rsidRPr="005305CD" w14:paraId="130CFADB" w14:textId="77777777" w:rsidTr="005305CD">
        <w:tc>
          <w:tcPr>
            <w:tcW w:w="4828" w:type="dxa"/>
            <w:shd w:val="clear" w:color="auto" w:fill="auto"/>
          </w:tcPr>
          <w:p w14:paraId="0438F78A" w14:textId="48821D61"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Om te investeren in het de internationale onderwijssamenwerking en in het wederzijds vertrouwen in de onderwijsstelsels van de landen van de Benelux Unie;</w:t>
            </w:r>
          </w:p>
        </w:tc>
        <w:tc>
          <w:tcPr>
            <w:tcW w:w="4809" w:type="dxa"/>
            <w:shd w:val="clear" w:color="auto" w:fill="auto"/>
          </w:tcPr>
          <w:p w14:paraId="187D1EA2" w14:textId="4E46209F"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 xml:space="preserve">D’investir dans la coopération internationale en matière d'éducation et </w:t>
            </w:r>
            <w:r w:rsidR="0016195A" w:rsidRPr="005305CD">
              <w:rPr>
                <w:rFonts w:asciiTheme="minorHAnsi" w:hAnsiTheme="minorHAnsi" w:cstheme="minorHAnsi"/>
                <w:sz w:val="22"/>
                <w:lang w:val="fr-FR"/>
              </w:rPr>
              <w:t xml:space="preserve">dans </w:t>
            </w:r>
            <w:r w:rsidRPr="005305CD">
              <w:rPr>
                <w:rFonts w:asciiTheme="minorHAnsi" w:hAnsiTheme="minorHAnsi" w:cstheme="minorHAnsi"/>
                <w:sz w:val="22"/>
                <w:lang w:val="fr-FR"/>
              </w:rPr>
              <w:t>la confiance mutuelle dans les systèmes éducatifs des pays de l'Union Benelux ;</w:t>
            </w:r>
          </w:p>
        </w:tc>
      </w:tr>
      <w:tr w:rsidR="005305CD" w:rsidRPr="005305CD" w14:paraId="4A204EED" w14:textId="77777777" w:rsidTr="005305CD">
        <w:tc>
          <w:tcPr>
            <w:tcW w:w="4828" w:type="dxa"/>
            <w:shd w:val="clear" w:color="auto" w:fill="auto"/>
          </w:tcPr>
          <w:p w14:paraId="273CCBED" w14:textId="77ABA2D2"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Calibri" w:hAnsi="Calibri" w:cs="Calibri"/>
                <w:sz w:val="22"/>
                <w:lang w:val="nl-BE"/>
              </w:rPr>
              <w:t>Om binnen de Europese Unie een voortrekkersrol te spelen door op Benelux niveau een juridisch bindende regelgeving uit te werken inzake de automatische en wederzijdse erkenning van diploma’s en beroepskwalificaties, met het oog op het vrij verkeer van studenten en de ontwikkeling van een eengemaakte arbeidsmarkt;</w:t>
            </w:r>
          </w:p>
        </w:tc>
        <w:tc>
          <w:tcPr>
            <w:tcW w:w="4809" w:type="dxa"/>
            <w:shd w:val="clear" w:color="auto" w:fill="auto"/>
          </w:tcPr>
          <w:p w14:paraId="6267FB4B" w14:textId="6A9E3095" w:rsidR="00A6665F" w:rsidRPr="005305CD" w:rsidRDefault="00A6665F" w:rsidP="00A6665F">
            <w:pPr>
              <w:pStyle w:val="ListParagraph"/>
              <w:numPr>
                <w:ilvl w:val="0"/>
                <w:numId w:val="17"/>
              </w:numPr>
              <w:spacing w:after="0"/>
              <w:ind w:left="305"/>
              <w:rPr>
                <w:rFonts w:asciiTheme="minorHAnsi" w:hAnsiTheme="minorHAnsi" w:cstheme="minorHAnsi"/>
                <w:sz w:val="22"/>
                <w:lang w:val="fr-FR"/>
              </w:rPr>
            </w:pPr>
            <w:r w:rsidRPr="005305CD">
              <w:rPr>
                <w:rFonts w:ascii="Calibri" w:hAnsi="Calibri" w:cs="Calibri"/>
                <w:sz w:val="22"/>
                <w:lang w:val="fr-FR"/>
              </w:rPr>
              <w:t>De jouer un rôle de précurseur au sein de l'Union européenne en élaborant, au niveau Benelux, un règlement juridiquement contraignant relatif à la reconnaissance automatique et mutuelle des diplômes et des qualifications professionnelles, en vue de la libre circulation des étudiants et du développement d'un marché du travail unique ;</w:t>
            </w:r>
          </w:p>
        </w:tc>
      </w:tr>
      <w:tr w:rsidR="005305CD" w:rsidRPr="005305CD" w14:paraId="6B9973B1" w14:textId="77777777" w:rsidTr="005305CD">
        <w:tc>
          <w:tcPr>
            <w:tcW w:w="4828" w:type="dxa"/>
            <w:shd w:val="clear" w:color="auto" w:fill="auto"/>
          </w:tcPr>
          <w:p w14:paraId="156803D4" w14:textId="6C34957C"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t xml:space="preserve">Om de samenwerking te versterken binnen de </w:t>
            </w:r>
            <w:r w:rsidRPr="005305CD">
              <w:rPr>
                <w:rFonts w:asciiTheme="minorHAnsi" w:hAnsiTheme="minorHAnsi" w:cstheme="minorHAnsi"/>
                <w:i/>
                <w:iCs/>
                <w:sz w:val="22"/>
                <w:lang w:val="nl-BE"/>
              </w:rPr>
              <w:t xml:space="preserve">Grande </w:t>
            </w:r>
            <w:proofErr w:type="spellStart"/>
            <w:r w:rsidRPr="005305CD">
              <w:rPr>
                <w:rFonts w:asciiTheme="minorHAnsi" w:hAnsiTheme="minorHAnsi" w:cstheme="minorHAnsi"/>
                <w:i/>
                <w:iCs/>
                <w:sz w:val="22"/>
                <w:lang w:val="nl-BE"/>
              </w:rPr>
              <w:t>Région</w:t>
            </w:r>
            <w:proofErr w:type="spellEnd"/>
            <w:r w:rsidRPr="005305CD">
              <w:rPr>
                <w:rFonts w:asciiTheme="minorHAnsi" w:hAnsiTheme="minorHAnsi" w:cstheme="minorHAnsi"/>
                <w:sz w:val="22"/>
                <w:lang w:val="nl-BE"/>
              </w:rPr>
              <w:t xml:space="preserve">, </w:t>
            </w:r>
            <w:proofErr w:type="spellStart"/>
            <w:r w:rsidRPr="005305CD">
              <w:rPr>
                <w:rFonts w:asciiTheme="minorHAnsi" w:hAnsiTheme="minorHAnsi" w:cstheme="minorHAnsi"/>
                <w:sz w:val="22"/>
                <w:lang w:val="nl-BE"/>
              </w:rPr>
              <w:t>Nordrhein</w:t>
            </w:r>
            <w:proofErr w:type="spellEnd"/>
            <w:r w:rsidRPr="005305CD">
              <w:rPr>
                <w:rFonts w:asciiTheme="minorHAnsi" w:hAnsiTheme="minorHAnsi" w:cstheme="minorHAnsi"/>
                <w:sz w:val="22"/>
                <w:lang w:val="nl-BE"/>
              </w:rPr>
              <w:t xml:space="preserve">-Westfalen en </w:t>
            </w:r>
            <w:proofErr w:type="spellStart"/>
            <w:r w:rsidRPr="005305CD">
              <w:rPr>
                <w:rFonts w:asciiTheme="minorHAnsi" w:hAnsiTheme="minorHAnsi" w:cstheme="minorHAnsi"/>
                <w:sz w:val="22"/>
                <w:lang w:val="nl-BE"/>
              </w:rPr>
              <w:t>Hauts</w:t>
            </w:r>
            <w:proofErr w:type="spellEnd"/>
            <w:r w:rsidRPr="005305CD">
              <w:rPr>
                <w:rFonts w:asciiTheme="minorHAnsi" w:hAnsiTheme="minorHAnsi" w:cstheme="minorHAnsi"/>
                <w:sz w:val="22"/>
                <w:lang w:val="nl-BE"/>
              </w:rPr>
              <w:t>-de-France op het vlak van de automatische en wederzijdse erkenning van diploma’s en beroepskwalificaties;</w:t>
            </w:r>
          </w:p>
        </w:tc>
        <w:tc>
          <w:tcPr>
            <w:tcW w:w="4809" w:type="dxa"/>
            <w:shd w:val="clear" w:color="auto" w:fill="auto"/>
          </w:tcPr>
          <w:p w14:paraId="52679A5B" w14:textId="3656E9CE"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 xml:space="preserve">De renforcer la coopération au sein de la Grande Région, </w:t>
            </w:r>
            <w:r w:rsidR="009963E1" w:rsidRPr="005305CD">
              <w:rPr>
                <w:rFonts w:asciiTheme="minorHAnsi" w:hAnsiTheme="minorHAnsi" w:cstheme="minorHAnsi"/>
                <w:sz w:val="22"/>
                <w:lang w:val="fr-FR"/>
              </w:rPr>
              <w:t xml:space="preserve">de </w:t>
            </w:r>
            <w:r w:rsidRPr="005305CD">
              <w:rPr>
                <w:rFonts w:asciiTheme="minorHAnsi" w:hAnsiTheme="minorHAnsi" w:cstheme="minorHAnsi"/>
                <w:sz w:val="22"/>
                <w:lang w:val="fr-FR"/>
              </w:rPr>
              <w:t xml:space="preserve">la Rhénanie du Nord-Westphalie et </w:t>
            </w:r>
            <w:r w:rsidR="009963E1" w:rsidRPr="005305CD">
              <w:rPr>
                <w:rFonts w:asciiTheme="minorHAnsi" w:hAnsiTheme="minorHAnsi" w:cstheme="minorHAnsi"/>
                <w:sz w:val="22"/>
                <w:lang w:val="fr-FR"/>
              </w:rPr>
              <w:t>d</w:t>
            </w:r>
            <w:r w:rsidRPr="005305CD">
              <w:rPr>
                <w:rFonts w:asciiTheme="minorHAnsi" w:hAnsiTheme="minorHAnsi" w:cstheme="minorHAnsi"/>
                <w:sz w:val="22"/>
                <w:lang w:val="fr-FR"/>
              </w:rPr>
              <w:t>es Hauts-de-France dans le domaine de la reconnaissance automatique et mutuelle des diplômes et des qualifications professionnelles;</w:t>
            </w:r>
          </w:p>
        </w:tc>
      </w:tr>
      <w:tr w:rsidR="005305CD" w:rsidRPr="005305CD" w14:paraId="517BE2E3" w14:textId="77777777" w:rsidTr="005305CD">
        <w:tc>
          <w:tcPr>
            <w:tcW w:w="4828" w:type="dxa"/>
            <w:shd w:val="clear" w:color="auto" w:fill="auto"/>
          </w:tcPr>
          <w:p w14:paraId="78F836F2" w14:textId="240BD3BB" w:rsidR="00A6665F" w:rsidRPr="005305CD" w:rsidRDefault="00A6665F" w:rsidP="00A6665F">
            <w:pPr>
              <w:pStyle w:val="NoSpacing"/>
              <w:numPr>
                <w:ilvl w:val="0"/>
                <w:numId w:val="17"/>
              </w:numPr>
              <w:ind w:left="319"/>
              <w:rPr>
                <w:rFonts w:asciiTheme="minorHAnsi" w:hAnsiTheme="minorHAnsi" w:cstheme="minorHAnsi"/>
                <w:sz w:val="22"/>
                <w:lang w:val="nl-BE"/>
              </w:rPr>
            </w:pPr>
            <w:r w:rsidRPr="005305CD">
              <w:rPr>
                <w:rFonts w:asciiTheme="minorHAnsi" w:hAnsiTheme="minorHAnsi" w:cstheme="minorHAnsi"/>
                <w:sz w:val="22"/>
                <w:lang w:val="nl-BE"/>
              </w:rPr>
              <w:lastRenderedPageBreak/>
              <w:t xml:space="preserve">Om de samenwerking met de </w:t>
            </w:r>
            <w:proofErr w:type="spellStart"/>
            <w:r w:rsidRPr="005305CD">
              <w:rPr>
                <w:rFonts w:asciiTheme="minorHAnsi" w:hAnsiTheme="minorHAnsi" w:cstheme="minorHAnsi"/>
                <w:sz w:val="22"/>
                <w:lang w:val="nl-BE"/>
              </w:rPr>
              <w:t>Baltic</w:t>
            </w:r>
            <w:proofErr w:type="spellEnd"/>
            <w:r w:rsidRPr="005305CD">
              <w:rPr>
                <w:rFonts w:asciiTheme="minorHAnsi" w:hAnsiTheme="minorHAnsi" w:cstheme="minorHAnsi"/>
                <w:sz w:val="22"/>
                <w:lang w:val="nl-BE"/>
              </w:rPr>
              <w:t xml:space="preserve"> Council of Ministers en </w:t>
            </w:r>
            <w:proofErr w:type="spellStart"/>
            <w:r w:rsidRPr="005305CD">
              <w:rPr>
                <w:rFonts w:asciiTheme="minorHAnsi" w:hAnsiTheme="minorHAnsi" w:cstheme="minorHAnsi"/>
                <w:sz w:val="22"/>
                <w:lang w:val="nl-BE"/>
              </w:rPr>
              <w:t>Nordic</w:t>
            </w:r>
            <w:proofErr w:type="spellEnd"/>
            <w:r w:rsidRPr="005305CD">
              <w:rPr>
                <w:rFonts w:asciiTheme="minorHAnsi" w:hAnsiTheme="minorHAnsi" w:cstheme="minorHAnsi"/>
                <w:sz w:val="22"/>
                <w:lang w:val="nl-BE"/>
              </w:rPr>
              <w:t xml:space="preserve"> Council of Ministers op het vlak van de automatische en wederzijdse erkenning van diploma’s en beroepskwalificaties verder te intensifiëren door het uitwisselen van ervaringen en ‘best </w:t>
            </w:r>
            <w:proofErr w:type="spellStart"/>
            <w:r w:rsidRPr="005305CD">
              <w:rPr>
                <w:rFonts w:asciiTheme="minorHAnsi" w:hAnsiTheme="minorHAnsi" w:cstheme="minorHAnsi"/>
                <w:sz w:val="22"/>
                <w:lang w:val="nl-BE"/>
              </w:rPr>
              <w:t>practices</w:t>
            </w:r>
            <w:proofErr w:type="spellEnd"/>
            <w:r w:rsidRPr="005305CD">
              <w:rPr>
                <w:rFonts w:asciiTheme="minorHAnsi" w:hAnsiTheme="minorHAnsi" w:cstheme="minorHAnsi"/>
                <w:sz w:val="22"/>
                <w:lang w:val="nl-BE"/>
              </w:rPr>
              <w:t>’.</w:t>
            </w:r>
          </w:p>
        </w:tc>
        <w:tc>
          <w:tcPr>
            <w:tcW w:w="4809" w:type="dxa"/>
            <w:shd w:val="clear" w:color="auto" w:fill="auto"/>
          </w:tcPr>
          <w:p w14:paraId="6560E69C" w14:textId="376DE587" w:rsidR="00A6665F" w:rsidRPr="005305CD" w:rsidRDefault="00A6665F" w:rsidP="00A6665F">
            <w:pPr>
              <w:pStyle w:val="ListParagraph"/>
              <w:numPr>
                <w:ilvl w:val="0"/>
                <w:numId w:val="17"/>
              </w:numPr>
              <w:spacing w:after="0"/>
              <w:ind w:left="313"/>
              <w:rPr>
                <w:rFonts w:asciiTheme="minorHAnsi" w:hAnsiTheme="minorHAnsi" w:cstheme="minorHAnsi"/>
                <w:sz w:val="22"/>
                <w:lang w:val="fr-FR"/>
              </w:rPr>
            </w:pPr>
            <w:r w:rsidRPr="005305CD">
              <w:rPr>
                <w:rFonts w:asciiTheme="minorHAnsi" w:hAnsiTheme="minorHAnsi" w:cstheme="minorHAnsi"/>
                <w:sz w:val="22"/>
                <w:lang w:val="fr-FR"/>
              </w:rPr>
              <w:t>D’intensifier la coopération avec le Conseil balte des ministres et le Conseil nordique des ministres dans le domaine de la reconnaissance automatique et mutuelle des diplômes et des qualifications professionnelles par l'échange d'expériences et de bonnes pratiques.</w:t>
            </w:r>
          </w:p>
        </w:tc>
      </w:tr>
    </w:tbl>
    <w:p w14:paraId="63EA9906" w14:textId="77777777" w:rsidR="001B3FDF" w:rsidRPr="004E7D83" w:rsidRDefault="001B3FDF" w:rsidP="00290503">
      <w:pPr>
        <w:pStyle w:val="NoSpacing"/>
        <w:jc w:val="left"/>
        <w:rPr>
          <w:rFonts w:asciiTheme="minorHAnsi" w:hAnsiTheme="minorHAnsi" w:cstheme="minorHAnsi"/>
          <w:sz w:val="22"/>
          <w:lang w:val="fr-FR"/>
        </w:rPr>
      </w:pPr>
    </w:p>
    <w:sectPr w:rsidR="001B3FDF" w:rsidRPr="004E7D83" w:rsidSect="005305CD">
      <w:footnotePr>
        <w:pos w:val="beneathText"/>
      </w:footnotePr>
      <w:type w:val="continuous"/>
      <w:pgSz w:w="11905" w:h="16837" w:code="9"/>
      <w:pgMar w:top="1134" w:right="1134" w:bottom="1135"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5F95" w14:textId="77777777" w:rsidR="001A1DE7" w:rsidRDefault="001A1DE7" w:rsidP="00B737C3">
      <w:pPr>
        <w:spacing w:after="0"/>
      </w:pPr>
      <w:r>
        <w:separator/>
      </w:r>
    </w:p>
  </w:endnote>
  <w:endnote w:type="continuationSeparator" w:id="0">
    <w:p w14:paraId="50F845E4" w14:textId="77777777" w:rsidR="001A1DE7" w:rsidRDefault="001A1DE7" w:rsidP="00B737C3">
      <w:pPr>
        <w:spacing w:after="0"/>
      </w:pPr>
      <w:r>
        <w:continuationSeparator/>
      </w:r>
    </w:p>
  </w:endnote>
  <w:endnote w:type="continuationNotice" w:id="1">
    <w:p w14:paraId="4CE6277C" w14:textId="77777777" w:rsidR="001A1DE7" w:rsidRDefault="001A1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charset w:val="00"/>
    <w:family w:val="roman"/>
    <w:pitch w:val="default"/>
  </w:font>
  <w:font w:name=".SFUIText-Regular">
    <w:charset w:val="00"/>
    <w:family w:val="roman"/>
    <w:pitch w:val="default"/>
  </w:font>
  <w:font w:name=".SFUIText-Ital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040342"/>
      <w:docPartObj>
        <w:docPartGallery w:val="Page Numbers (Bottom of Page)"/>
        <w:docPartUnique/>
      </w:docPartObj>
    </w:sdtPr>
    <w:sdtEndPr>
      <w:rPr>
        <w:noProof/>
        <w:sz w:val="24"/>
        <w:szCs w:val="24"/>
      </w:rPr>
    </w:sdtEndPr>
    <w:sdtContent>
      <w:p w14:paraId="7BBEA3E6" w14:textId="093CCFA4" w:rsidR="005305CD" w:rsidRPr="005305CD" w:rsidRDefault="005305CD">
        <w:pPr>
          <w:pStyle w:val="Footer"/>
          <w:jc w:val="center"/>
          <w:rPr>
            <w:sz w:val="24"/>
            <w:szCs w:val="24"/>
          </w:rPr>
        </w:pPr>
        <w:r w:rsidRPr="005305CD">
          <w:rPr>
            <w:sz w:val="24"/>
            <w:szCs w:val="24"/>
          </w:rPr>
          <w:fldChar w:fldCharType="begin"/>
        </w:r>
        <w:r w:rsidRPr="005305CD">
          <w:rPr>
            <w:sz w:val="24"/>
            <w:szCs w:val="24"/>
          </w:rPr>
          <w:instrText xml:space="preserve"> PAGE   \* MERGEFORMAT </w:instrText>
        </w:r>
        <w:r w:rsidRPr="005305CD">
          <w:rPr>
            <w:sz w:val="24"/>
            <w:szCs w:val="24"/>
          </w:rPr>
          <w:fldChar w:fldCharType="separate"/>
        </w:r>
        <w:r w:rsidRPr="005305CD">
          <w:rPr>
            <w:noProof/>
            <w:sz w:val="24"/>
            <w:szCs w:val="24"/>
          </w:rPr>
          <w:t>2</w:t>
        </w:r>
        <w:r w:rsidRPr="005305CD">
          <w:rPr>
            <w:noProof/>
            <w:sz w:val="24"/>
            <w:szCs w:val="24"/>
          </w:rPr>
          <w:fldChar w:fldCharType="end"/>
        </w:r>
      </w:p>
    </w:sdtContent>
  </w:sdt>
  <w:p w14:paraId="042A74E3" w14:textId="1C797D0A" w:rsidR="002A4B76" w:rsidRPr="00B557DA" w:rsidRDefault="002A4B76" w:rsidP="00C003FD">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CAE9" w14:textId="77777777" w:rsidR="001A1DE7" w:rsidRDefault="001A1DE7" w:rsidP="00B737C3">
      <w:pPr>
        <w:spacing w:after="0"/>
      </w:pPr>
      <w:r>
        <w:separator/>
      </w:r>
    </w:p>
  </w:footnote>
  <w:footnote w:type="continuationSeparator" w:id="0">
    <w:p w14:paraId="63CC210F" w14:textId="77777777" w:rsidR="001A1DE7" w:rsidRDefault="001A1DE7" w:rsidP="00B737C3">
      <w:pPr>
        <w:spacing w:after="0"/>
      </w:pPr>
      <w:r>
        <w:continuationSeparator/>
      </w:r>
    </w:p>
  </w:footnote>
  <w:footnote w:type="continuationNotice" w:id="1">
    <w:p w14:paraId="5FB87AD7" w14:textId="77777777" w:rsidR="001A1DE7" w:rsidRDefault="001A1D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244"/>
    <w:multiLevelType w:val="multilevel"/>
    <w:tmpl w:val="898E9688"/>
    <w:styleLink w:val="SBSMultilevelBullets1"/>
    <w:lvl w:ilvl="0">
      <w:start w:val="1"/>
      <w:numFmt w:val="bullet"/>
      <w:lvlText w:val="–"/>
      <w:lvlJc w:val="left"/>
      <w:pPr>
        <w:ind w:left="284" w:hanging="284"/>
      </w:pPr>
      <w:rPr>
        <w:rFonts w:ascii="Times New Roman" w:hAnsi="Times New Roman" w:cs="Times New Roman"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Times New Roman" w:hAnsi="Times New Roman" w:cs="Times New Roman" w:hint="default"/>
        <w:color w:val="auto"/>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1701" w:hanging="283"/>
      </w:pPr>
      <w:rPr>
        <w:rFonts w:ascii="Times New Roman" w:hAnsi="Times New Roman" w:cs="Times New Roman" w:hint="default"/>
        <w:color w:val="auto"/>
      </w:rPr>
    </w:lvl>
    <w:lvl w:ilvl="6">
      <w:start w:val="1"/>
      <w:numFmt w:val="bullet"/>
      <w:lvlText w:val="▪"/>
      <w:lvlJc w:val="left"/>
      <w:pPr>
        <w:ind w:left="1985" w:hanging="284"/>
      </w:pPr>
      <w:rPr>
        <w:rFonts w:ascii="Times New Roman" w:hAnsi="Times New Roman" w:cs="Times New Roman" w:hint="default"/>
        <w:color w:val="auto"/>
      </w:rPr>
    </w:lvl>
    <w:lvl w:ilvl="7">
      <w:start w:val="1"/>
      <w:numFmt w:val="bullet"/>
      <w:lvlText w:val="▪"/>
      <w:lvlJc w:val="left"/>
      <w:pPr>
        <w:ind w:left="2268" w:hanging="283"/>
      </w:pPr>
      <w:rPr>
        <w:rFonts w:ascii="Times New Roman" w:hAnsi="Times New Roman" w:cs="Times New Roman" w:hint="default"/>
        <w:color w:val="auto"/>
      </w:rPr>
    </w:lvl>
    <w:lvl w:ilvl="8">
      <w:start w:val="1"/>
      <w:numFmt w:val="bullet"/>
      <w:lvlText w:val="▪"/>
      <w:lvlJc w:val="left"/>
      <w:pPr>
        <w:ind w:left="2552" w:hanging="284"/>
      </w:pPr>
      <w:rPr>
        <w:rFonts w:ascii="Times New Roman" w:hAnsi="Times New Roman" w:cs="Times New Roman" w:hint="default"/>
        <w:color w:val="auto"/>
      </w:rPr>
    </w:lvl>
  </w:abstractNum>
  <w:abstractNum w:abstractNumId="1" w15:restartNumberingAfterBreak="0">
    <w:nsid w:val="0F057080"/>
    <w:multiLevelType w:val="hybridMultilevel"/>
    <w:tmpl w:val="8572CB68"/>
    <w:lvl w:ilvl="0" w:tplc="DEDC1F4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0D0473"/>
    <w:multiLevelType w:val="hybridMultilevel"/>
    <w:tmpl w:val="0DFE2C12"/>
    <w:lvl w:ilvl="0" w:tplc="B51C74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B07BAD"/>
    <w:multiLevelType w:val="hybridMultilevel"/>
    <w:tmpl w:val="E77C0BC8"/>
    <w:lvl w:ilvl="0" w:tplc="A95EFDB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0D0FE1"/>
    <w:multiLevelType w:val="multilevel"/>
    <w:tmpl w:val="D2163F64"/>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decimal"/>
      <w:lvlText w:val="%1.%2.%3.%4."/>
      <w:lvlJc w:val="left"/>
      <w:pPr>
        <w:ind w:left="360" w:hanging="360"/>
      </w:p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1814" w:hanging="1814"/>
      </w:pPr>
    </w:lvl>
  </w:abstractNum>
  <w:abstractNum w:abstractNumId="5" w15:restartNumberingAfterBreak="0">
    <w:nsid w:val="2F256277"/>
    <w:multiLevelType w:val="hybridMultilevel"/>
    <w:tmpl w:val="A07C45C2"/>
    <w:lvl w:ilvl="0" w:tplc="1AE29A86">
      <w:numFmt w:val="bullet"/>
      <w:lvlText w:val="-"/>
      <w:lvlJc w:val="left"/>
      <w:pPr>
        <w:ind w:left="720" w:hanging="360"/>
      </w:pPr>
      <w:rPr>
        <w:rFonts w:ascii="Times New Roman" w:eastAsia="Times New Roman" w:hAnsi="Times New Roman" w:cs="Times New Roman"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3B73F6"/>
    <w:multiLevelType w:val="hybridMultilevel"/>
    <w:tmpl w:val="F08A76BA"/>
    <w:styleLink w:val="Gemporteerdestijl1"/>
    <w:lvl w:ilvl="0" w:tplc="4AD8C584">
      <w:start w:val="1"/>
      <w:numFmt w:val="bullet"/>
      <w:lvlText w:val="—"/>
      <w:lvlJc w:val="left"/>
      <w:pPr>
        <w:tabs>
          <w:tab w:val="num" w:pos="708"/>
        </w:tabs>
        <w:ind w:left="351" w:firstLine="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061E72">
      <w:start w:val="1"/>
      <w:numFmt w:val="bullet"/>
      <w:lvlText w:val="o"/>
      <w:lvlJc w:val="left"/>
      <w:pPr>
        <w:ind w:left="99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E82CEC6">
      <w:start w:val="1"/>
      <w:numFmt w:val="bullet"/>
      <w:lvlText w:val="▪"/>
      <w:lvlJc w:val="left"/>
      <w:pPr>
        <w:ind w:left="171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01D232B2">
      <w:start w:val="1"/>
      <w:numFmt w:val="bullet"/>
      <w:lvlText w:val="•"/>
      <w:lvlJc w:val="left"/>
      <w:pPr>
        <w:ind w:left="243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2F82FBDA">
      <w:start w:val="1"/>
      <w:numFmt w:val="bullet"/>
      <w:lvlText w:val="o"/>
      <w:lvlJc w:val="left"/>
      <w:pPr>
        <w:ind w:left="315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7C460A26">
      <w:start w:val="1"/>
      <w:numFmt w:val="bullet"/>
      <w:lvlText w:val="▪"/>
      <w:lvlJc w:val="left"/>
      <w:pPr>
        <w:ind w:left="387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E4EA664">
      <w:start w:val="1"/>
      <w:numFmt w:val="bullet"/>
      <w:lvlText w:val="•"/>
      <w:lvlJc w:val="left"/>
      <w:pPr>
        <w:ind w:left="459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E46669A">
      <w:start w:val="1"/>
      <w:numFmt w:val="bullet"/>
      <w:lvlText w:val="o"/>
      <w:lvlJc w:val="left"/>
      <w:pPr>
        <w:ind w:left="531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B43AB804">
      <w:start w:val="1"/>
      <w:numFmt w:val="bullet"/>
      <w:lvlText w:val="▪"/>
      <w:lvlJc w:val="left"/>
      <w:pPr>
        <w:ind w:left="603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A175721"/>
    <w:multiLevelType w:val="hybridMultilevel"/>
    <w:tmpl w:val="BE2A0720"/>
    <w:lvl w:ilvl="0" w:tplc="6C465C48">
      <w:numFmt w:val="bullet"/>
      <w:lvlText w:val="-"/>
      <w:lvlJc w:val="left"/>
      <w:pPr>
        <w:ind w:left="360" w:hanging="360"/>
      </w:pPr>
      <w:rPr>
        <w:rFonts w:ascii="Calibri" w:eastAsia="Times New Roman" w:hAnsi="Calibri" w:cs="Calibri" w:hint="default"/>
        <w:sz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BF61202"/>
    <w:multiLevelType w:val="hybridMultilevel"/>
    <w:tmpl w:val="D8167D70"/>
    <w:lvl w:ilvl="0" w:tplc="012C611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DF47F8"/>
    <w:multiLevelType w:val="multilevel"/>
    <w:tmpl w:val="AB8CAD80"/>
    <w:styleLink w:val="SBSMultilevelList2"/>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360" w:hanging="360"/>
      </w:pPr>
      <w:rPr>
        <w:rFonts w:hint="default"/>
      </w:rPr>
    </w:lvl>
    <w:lvl w:ilvl="5">
      <w:start w:val="1"/>
      <w:numFmt w:val="decimal"/>
      <w:lvlText w:val="%3.%4.%5.%6."/>
      <w:lvlJc w:val="left"/>
      <w:pPr>
        <w:ind w:left="360" w:hanging="360"/>
      </w:pPr>
      <w:rPr>
        <w:rFonts w:hint="default"/>
      </w:rPr>
    </w:lvl>
    <w:lvl w:ilvl="6">
      <w:start w:val="1"/>
      <w:numFmt w:val="decimal"/>
      <w:lvlText w:val="%3.%4.%5.%6.%7."/>
      <w:lvlJc w:val="left"/>
      <w:pPr>
        <w:ind w:left="360" w:hanging="360"/>
      </w:pPr>
      <w:rPr>
        <w:rFonts w:hint="default"/>
      </w:rPr>
    </w:lvl>
    <w:lvl w:ilvl="7">
      <w:start w:val="1"/>
      <w:numFmt w:val="decimal"/>
      <w:lvlText w:val="%3.%4.%5.%6.%7.%8."/>
      <w:lvlJc w:val="left"/>
      <w:pPr>
        <w:ind w:left="360" w:hanging="360"/>
      </w:pPr>
      <w:rPr>
        <w:rFonts w:hint="default"/>
      </w:rPr>
    </w:lvl>
    <w:lvl w:ilvl="8">
      <w:start w:val="1"/>
      <w:numFmt w:val="decimal"/>
      <w:lvlText w:val="%3.%4.%5.%6.%7.%8.%9."/>
      <w:lvlJc w:val="left"/>
      <w:pPr>
        <w:ind w:left="360" w:hanging="360"/>
      </w:pPr>
      <w:rPr>
        <w:rFonts w:hint="default"/>
      </w:rPr>
    </w:lvl>
  </w:abstractNum>
  <w:abstractNum w:abstractNumId="10" w15:restartNumberingAfterBreak="0">
    <w:nsid w:val="4E804B25"/>
    <w:multiLevelType w:val="hybridMultilevel"/>
    <w:tmpl w:val="BBDC80D8"/>
    <w:lvl w:ilvl="0" w:tplc="DA30F4E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D315BAC"/>
    <w:multiLevelType w:val="hybridMultilevel"/>
    <w:tmpl w:val="EA86D252"/>
    <w:lvl w:ilvl="0" w:tplc="7A241B6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AF67D1"/>
    <w:multiLevelType w:val="hybridMultilevel"/>
    <w:tmpl w:val="7F5A4264"/>
    <w:lvl w:ilvl="0" w:tplc="896A0C76">
      <w:numFmt w:val="bullet"/>
      <w:lvlText w:val="-"/>
      <w:lvlJc w:val="left"/>
      <w:pPr>
        <w:ind w:left="360" w:hanging="360"/>
      </w:pPr>
      <w:rPr>
        <w:rFonts w:ascii="Cambria" w:eastAsia="MS Mincho"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084CB3"/>
    <w:multiLevelType w:val="hybridMultilevel"/>
    <w:tmpl w:val="562662CC"/>
    <w:lvl w:ilvl="0" w:tplc="4EE2BD8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2F62EB"/>
    <w:multiLevelType w:val="hybridMultilevel"/>
    <w:tmpl w:val="2392F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B40746"/>
    <w:multiLevelType w:val="multilevel"/>
    <w:tmpl w:val="59D0D46A"/>
    <w:styleLink w:val="SBSMultilevel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pStyle w:val="Heading5"/>
      <w:lvlText w:val="%1.%2.%3.%4.%5."/>
      <w:lvlJc w:val="left"/>
      <w:pPr>
        <w:ind w:left="360" w:hanging="36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num w:numId="1" w16cid:durableId="999961955">
    <w:abstractNumId w:val="0"/>
  </w:num>
  <w:num w:numId="2" w16cid:durableId="1491100696">
    <w:abstractNumId w:val="15"/>
  </w:num>
  <w:num w:numId="3" w16cid:durableId="204566171">
    <w:abstractNumId w:val="9"/>
  </w:num>
  <w:num w:numId="4" w16cid:durableId="1376006415">
    <w:abstractNumId w:val="15"/>
  </w:num>
  <w:num w:numId="5" w16cid:durableId="786311900">
    <w:abstractNumId w:val="6"/>
  </w:num>
  <w:num w:numId="6" w16cid:durableId="1806006878">
    <w:abstractNumId w:val="14"/>
  </w:num>
  <w:num w:numId="7" w16cid:durableId="729692488">
    <w:abstractNumId w:val="10"/>
  </w:num>
  <w:num w:numId="8" w16cid:durableId="900559088">
    <w:abstractNumId w:val="3"/>
  </w:num>
  <w:num w:numId="9" w16cid:durableId="1243880082">
    <w:abstractNumId w:val="11"/>
  </w:num>
  <w:num w:numId="10" w16cid:durableId="1736585846">
    <w:abstractNumId w:val="13"/>
  </w:num>
  <w:num w:numId="11" w16cid:durableId="1679385428">
    <w:abstractNumId w:val="1"/>
  </w:num>
  <w:num w:numId="12" w16cid:durableId="1721392229">
    <w:abstractNumId w:val="2"/>
  </w:num>
  <w:num w:numId="13" w16cid:durableId="1836266775">
    <w:abstractNumId w:val="4"/>
  </w:num>
  <w:num w:numId="14" w16cid:durableId="1631470653">
    <w:abstractNumId w:val="8"/>
  </w:num>
  <w:num w:numId="15" w16cid:durableId="1726484158">
    <w:abstractNumId w:val="7"/>
  </w:num>
  <w:num w:numId="16" w16cid:durableId="1181116735">
    <w:abstractNumId w:val="12"/>
  </w:num>
  <w:num w:numId="17" w16cid:durableId="194734220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2"/>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BA4FB8-FE37-4D0C-8FEC-B26DD4F4AD0E}"/>
    <w:docVar w:name="dgnword-eventsink" w:val="268906400"/>
  </w:docVars>
  <w:rsids>
    <w:rsidRoot w:val="00520A5B"/>
    <w:rsid w:val="000015E9"/>
    <w:rsid w:val="000027BC"/>
    <w:rsid w:val="00004562"/>
    <w:rsid w:val="00004EAD"/>
    <w:rsid w:val="00013B42"/>
    <w:rsid w:val="00014F77"/>
    <w:rsid w:val="00015184"/>
    <w:rsid w:val="000166DC"/>
    <w:rsid w:val="000173C9"/>
    <w:rsid w:val="00021B13"/>
    <w:rsid w:val="00024261"/>
    <w:rsid w:val="00027387"/>
    <w:rsid w:val="00027791"/>
    <w:rsid w:val="00030523"/>
    <w:rsid w:val="00031CBA"/>
    <w:rsid w:val="0003245F"/>
    <w:rsid w:val="00033A2C"/>
    <w:rsid w:val="000343DC"/>
    <w:rsid w:val="000511A1"/>
    <w:rsid w:val="00054BA0"/>
    <w:rsid w:val="00057FD2"/>
    <w:rsid w:val="000621C2"/>
    <w:rsid w:val="000622B1"/>
    <w:rsid w:val="000719BC"/>
    <w:rsid w:val="00071EF7"/>
    <w:rsid w:val="00074ADE"/>
    <w:rsid w:val="00075853"/>
    <w:rsid w:val="00077BEF"/>
    <w:rsid w:val="000818D3"/>
    <w:rsid w:val="00082C26"/>
    <w:rsid w:val="00083A51"/>
    <w:rsid w:val="000845BD"/>
    <w:rsid w:val="0008476B"/>
    <w:rsid w:val="000921E3"/>
    <w:rsid w:val="00092650"/>
    <w:rsid w:val="000A0E4D"/>
    <w:rsid w:val="000A136E"/>
    <w:rsid w:val="000A4625"/>
    <w:rsid w:val="000A6533"/>
    <w:rsid w:val="000B1704"/>
    <w:rsid w:val="000B34C6"/>
    <w:rsid w:val="000C1614"/>
    <w:rsid w:val="000C17F4"/>
    <w:rsid w:val="000C47E1"/>
    <w:rsid w:val="000C5E3C"/>
    <w:rsid w:val="000C6C37"/>
    <w:rsid w:val="000D141C"/>
    <w:rsid w:val="000D298E"/>
    <w:rsid w:val="000D2C63"/>
    <w:rsid w:val="000D5DC5"/>
    <w:rsid w:val="000E473F"/>
    <w:rsid w:val="000E6F86"/>
    <w:rsid w:val="000E73C0"/>
    <w:rsid w:val="000F3A6E"/>
    <w:rsid w:val="00101991"/>
    <w:rsid w:val="00106128"/>
    <w:rsid w:val="001110F8"/>
    <w:rsid w:val="00111A92"/>
    <w:rsid w:val="001132CC"/>
    <w:rsid w:val="00120793"/>
    <w:rsid w:val="00120AE7"/>
    <w:rsid w:val="0013208F"/>
    <w:rsid w:val="00134A90"/>
    <w:rsid w:val="001356A6"/>
    <w:rsid w:val="0014210F"/>
    <w:rsid w:val="0014433B"/>
    <w:rsid w:val="001444E3"/>
    <w:rsid w:val="00144E0E"/>
    <w:rsid w:val="00146AC6"/>
    <w:rsid w:val="00151895"/>
    <w:rsid w:val="00155633"/>
    <w:rsid w:val="00157D01"/>
    <w:rsid w:val="0016195A"/>
    <w:rsid w:val="001621EA"/>
    <w:rsid w:val="00165689"/>
    <w:rsid w:val="00167BAF"/>
    <w:rsid w:val="00170138"/>
    <w:rsid w:val="00170E8A"/>
    <w:rsid w:val="0017195A"/>
    <w:rsid w:val="00175CF2"/>
    <w:rsid w:val="0018085C"/>
    <w:rsid w:val="00184894"/>
    <w:rsid w:val="00186753"/>
    <w:rsid w:val="00186FB5"/>
    <w:rsid w:val="001914C4"/>
    <w:rsid w:val="001924E9"/>
    <w:rsid w:val="00197545"/>
    <w:rsid w:val="001976AB"/>
    <w:rsid w:val="001A1671"/>
    <w:rsid w:val="001A1DE7"/>
    <w:rsid w:val="001A6D67"/>
    <w:rsid w:val="001A7365"/>
    <w:rsid w:val="001A78C4"/>
    <w:rsid w:val="001B17A2"/>
    <w:rsid w:val="001B3FDF"/>
    <w:rsid w:val="001C0C5F"/>
    <w:rsid w:val="001C15A4"/>
    <w:rsid w:val="001C175D"/>
    <w:rsid w:val="001C33F4"/>
    <w:rsid w:val="001C375C"/>
    <w:rsid w:val="001C3EA4"/>
    <w:rsid w:val="001C4EBB"/>
    <w:rsid w:val="001D4936"/>
    <w:rsid w:val="001D5905"/>
    <w:rsid w:val="001E0D10"/>
    <w:rsid w:val="001E1711"/>
    <w:rsid w:val="001E317E"/>
    <w:rsid w:val="001E73E9"/>
    <w:rsid w:val="001E7481"/>
    <w:rsid w:val="001E749C"/>
    <w:rsid w:val="001E7C87"/>
    <w:rsid w:val="001F1B80"/>
    <w:rsid w:val="001F6BD9"/>
    <w:rsid w:val="001F712D"/>
    <w:rsid w:val="00206770"/>
    <w:rsid w:val="00206A0A"/>
    <w:rsid w:val="0021102A"/>
    <w:rsid w:val="002150DB"/>
    <w:rsid w:val="002151A4"/>
    <w:rsid w:val="00215E9F"/>
    <w:rsid w:val="00215ED3"/>
    <w:rsid w:val="00217479"/>
    <w:rsid w:val="00220D27"/>
    <w:rsid w:val="0022343E"/>
    <w:rsid w:val="00234FF9"/>
    <w:rsid w:val="00235018"/>
    <w:rsid w:val="0023718D"/>
    <w:rsid w:val="00240D17"/>
    <w:rsid w:val="00244B66"/>
    <w:rsid w:val="002460A9"/>
    <w:rsid w:val="0024611E"/>
    <w:rsid w:val="002467BA"/>
    <w:rsid w:val="002524C4"/>
    <w:rsid w:val="0025718D"/>
    <w:rsid w:val="00262F9C"/>
    <w:rsid w:val="00271855"/>
    <w:rsid w:val="002727E7"/>
    <w:rsid w:val="002732BD"/>
    <w:rsid w:val="0028252A"/>
    <w:rsid w:val="0028357A"/>
    <w:rsid w:val="002858B7"/>
    <w:rsid w:val="00286E76"/>
    <w:rsid w:val="00290503"/>
    <w:rsid w:val="00295998"/>
    <w:rsid w:val="002A18B5"/>
    <w:rsid w:val="002A30FB"/>
    <w:rsid w:val="002A46D0"/>
    <w:rsid w:val="002A4B76"/>
    <w:rsid w:val="002A51CC"/>
    <w:rsid w:val="002A6A67"/>
    <w:rsid w:val="002A6DFD"/>
    <w:rsid w:val="002A705F"/>
    <w:rsid w:val="002A7AE8"/>
    <w:rsid w:val="002B43BA"/>
    <w:rsid w:val="002B4D39"/>
    <w:rsid w:val="002B5741"/>
    <w:rsid w:val="002B763B"/>
    <w:rsid w:val="002C1902"/>
    <w:rsid w:val="002C3C00"/>
    <w:rsid w:val="002C5685"/>
    <w:rsid w:val="002C7143"/>
    <w:rsid w:val="002D04E1"/>
    <w:rsid w:val="002D083A"/>
    <w:rsid w:val="002D22AF"/>
    <w:rsid w:val="002D2381"/>
    <w:rsid w:val="002D2469"/>
    <w:rsid w:val="002D55FD"/>
    <w:rsid w:val="002D6832"/>
    <w:rsid w:val="002E0D50"/>
    <w:rsid w:val="002E10F2"/>
    <w:rsid w:val="002E154D"/>
    <w:rsid w:val="002E1A3C"/>
    <w:rsid w:val="002F480F"/>
    <w:rsid w:val="002F620A"/>
    <w:rsid w:val="00311875"/>
    <w:rsid w:val="003160B5"/>
    <w:rsid w:val="0032310B"/>
    <w:rsid w:val="003258A3"/>
    <w:rsid w:val="00326B52"/>
    <w:rsid w:val="003332B2"/>
    <w:rsid w:val="00336446"/>
    <w:rsid w:val="0033787B"/>
    <w:rsid w:val="00340D02"/>
    <w:rsid w:val="00346DFB"/>
    <w:rsid w:val="00347F61"/>
    <w:rsid w:val="00353103"/>
    <w:rsid w:val="00364028"/>
    <w:rsid w:val="003640A7"/>
    <w:rsid w:val="00364230"/>
    <w:rsid w:val="00364463"/>
    <w:rsid w:val="00366EE0"/>
    <w:rsid w:val="00367948"/>
    <w:rsid w:val="00371715"/>
    <w:rsid w:val="003761D9"/>
    <w:rsid w:val="003775E7"/>
    <w:rsid w:val="00377E41"/>
    <w:rsid w:val="00381364"/>
    <w:rsid w:val="00381395"/>
    <w:rsid w:val="00381EE0"/>
    <w:rsid w:val="00395B00"/>
    <w:rsid w:val="0039639E"/>
    <w:rsid w:val="0039713B"/>
    <w:rsid w:val="00397719"/>
    <w:rsid w:val="003A2A00"/>
    <w:rsid w:val="003A7608"/>
    <w:rsid w:val="003B3693"/>
    <w:rsid w:val="003B41A7"/>
    <w:rsid w:val="003B4F3C"/>
    <w:rsid w:val="003B508A"/>
    <w:rsid w:val="003B5C5E"/>
    <w:rsid w:val="003B7A37"/>
    <w:rsid w:val="003C202A"/>
    <w:rsid w:val="003C249D"/>
    <w:rsid w:val="003C2B83"/>
    <w:rsid w:val="003C563B"/>
    <w:rsid w:val="003D15A9"/>
    <w:rsid w:val="003D21D8"/>
    <w:rsid w:val="003D3B2D"/>
    <w:rsid w:val="003D493E"/>
    <w:rsid w:val="003D4A76"/>
    <w:rsid w:val="003D66E7"/>
    <w:rsid w:val="003D6A6B"/>
    <w:rsid w:val="003E55DC"/>
    <w:rsid w:val="003E5E23"/>
    <w:rsid w:val="003F2D48"/>
    <w:rsid w:val="003F4B93"/>
    <w:rsid w:val="003F7D80"/>
    <w:rsid w:val="004050E7"/>
    <w:rsid w:val="00407587"/>
    <w:rsid w:val="00415808"/>
    <w:rsid w:val="00415902"/>
    <w:rsid w:val="0042160F"/>
    <w:rsid w:val="00424431"/>
    <w:rsid w:val="004361D4"/>
    <w:rsid w:val="0044724A"/>
    <w:rsid w:val="00447472"/>
    <w:rsid w:val="00447DA8"/>
    <w:rsid w:val="00447F6F"/>
    <w:rsid w:val="00447FAB"/>
    <w:rsid w:val="00452CBA"/>
    <w:rsid w:val="00454272"/>
    <w:rsid w:val="00455ED5"/>
    <w:rsid w:val="00456434"/>
    <w:rsid w:val="004646E5"/>
    <w:rsid w:val="00465989"/>
    <w:rsid w:val="00470DAF"/>
    <w:rsid w:val="004715E8"/>
    <w:rsid w:val="0047188C"/>
    <w:rsid w:val="00471DB3"/>
    <w:rsid w:val="004733E6"/>
    <w:rsid w:val="0047356A"/>
    <w:rsid w:val="00477201"/>
    <w:rsid w:val="00482521"/>
    <w:rsid w:val="00484BBE"/>
    <w:rsid w:val="00490163"/>
    <w:rsid w:val="00490ACB"/>
    <w:rsid w:val="0049136C"/>
    <w:rsid w:val="00492F6B"/>
    <w:rsid w:val="004934D5"/>
    <w:rsid w:val="004936D8"/>
    <w:rsid w:val="00493722"/>
    <w:rsid w:val="004960EC"/>
    <w:rsid w:val="004A12BB"/>
    <w:rsid w:val="004A3787"/>
    <w:rsid w:val="004A37FB"/>
    <w:rsid w:val="004A71AB"/>
    <w:rsid w:val="004B3CA9"/>
    <w:rsid w:val="004B77A4"/>
    <w:rsid w:val="004C15F4"/>
    <w:rsid w:val="004C4A7E"/>
    <w:rsid w:val="004D3D3C"/>
    <w:rsid w:val="004D499D"/>
    <w:rsid w:val="004E0943"/>
    <w:rsid w:val="004E23DB"/>
    <w:rsid w:val="004E28FE"/>
    <w:rsid w:val="004E7D83"/>
    <w:rsid w:val="004F02CE"/>
    <w:rsid w:val="004F1536"/>
    <w:rsid w:val="004F4D94"/>
    <w:rsid w:val="00501F82"/>
    <w:rsid w:val="00513905"/>
    <w:rsid w:val="00516552"/>
    <w:rsid w:val="00520A5B"/>
    <w:rsid w:val="005231B4"/>
    <w:rsid w:val="00525C26"/>
    <w:rsid w:val="005305CD"/>
    <w:rsid w:val="005305CE"/>
    <w:rsid w:val="00540B8A"/>
    <w:rsid w:val="00550906"/>
    <w:rsid w:val="0056173D"/>
    <w:rsid w:val="00563BE9"/>
    <w:rsid w:val="00563CF0"/>
    <w:rsid w:val="005700DB"/>
    <w:rsid w:val="00575C63"/>
    <w:rsid w:val="00575D7F"/>
    <w:rsid w:val="00582D8A"/>
    <w:rsid w:val="0058407D"/>
    <w:rsid w:val="00590A11"/>
    <w:rsid w:val="0059163B"/>
    <w:rsid w:val="0059526E"/>
    <w:rsid w:val="00596397"/>
    <w:rsid w:val="00597590"/>
    <w:rsid w:val="005A196D"/>
    <w:rsid w:val="005A4C57"/>
    <w:rsid w:val="005A6950"/>
    <w:rsid w:val="005B00A4"/>
    <w:rsid w:val="005B3CE0"/>
    <w:rsid w:val="005B6A57"/>
    <w:rsid w:val="005C0B1A"/>
    <w:rsid w:val="005D5FE0"/>
    <w:rsid w:val="005D65B4"/>
    <w:rsid w:val="005E2348"/>
    <w:rsid w:val="005E3939"/>
    <w:rsid w:val="005E622E"/>
    <w:rsid w:val="005F5D06"/>
    <w:rsid w:val="005F6DD1"/>
    <w:rsid w:val="005F731A"/>
    <w:rsid w:val="006058C5"/>
    <w:rsid w:val="00607287"/>
    <w:rsid w:val="006079C9"/>
    <w:rsid w:val="00612C00"/>
    <w:rsid w:val="00613726"/>
    <w:rsid w:val="00613B87"/>
    <w:rsid w:val="006144C5"/>
    <w:rsid w:val="00615BC7"/>
    <w:rsid w:val="0062139B"/>
    <w:rsid w:val="0062190E"/>
    <w:rsid w:val="00622169"/>
    <w:rsid w:val="00626553"/>
    <w:rsid w:val="00626729"/>
    <w:rsid w:val="0062688A"/>
    <w:rsid w:val="00627A01"/>
    <w:rsid w:val="00631BA0"/>
    <w:rsid w:val="00634647"/>
    <w:rsid w:val="00635030"/>
    <w:rsid w:val="006444C9"/>
    <w:rsid w:val="00660A4F"/>
    <w:rsid w:val="00663016"/>
    <w:rsid w:val="0066557F"/>
    <w:rsid w:val="00666BF5"/>
    <w:rsid w:val="006671CB"/>
    <w:rsid w:val="00671605"/>
    <w:rsid w:val="006738A9"/>
    <w:rsid w:val="00677447"/>
    <w:rsid w:val="00677C5C"/>
    <w:rsid w:val="006834C8"/>
    <w:rsid w:val="00684E01"/>
    <w:rsid w:val="006918B6"/>
    <w:rsid w:val="00695451"/>
    <w:rsid w:val="00697177"/>
    <w:rsid w:val="006A0600"/>
    <w:rsid w:val="006A25B1"/>
    <w:rsid w:val="006A3F99"/>
    <w:rsid w:val="006A70EC"/>
    <w:rsid w:val="006B162A"/>
    <w:rsid w:val="006B45BF"/>
    <w:rsid w:val="006B6688"/>
    <w:rsid w:val="006C1599"/>
    <w:rsid w:val="006C5E41"/>
    <w:rsid w:val="006D15D4"/>
    <w:rsid w:val="006D5BE4"/>
    <w:rsid w:val="006D66F7"/>
    <w:rsid w:val="006D738B"/>
    <w:rsid w:val="006E1607"/>
    <w:rsid w:val="006E3E5A"/>
    <w:rsid w:val="006E441F"/>
    <w:rsid w:val="006E4428"/>
    <w:rsid w:val="006F0404"/>
    <w:rsid w:val="006F19B3"/>
    <w:rsid w:val="006F674D"/>
    <w:rsid w:val="00702F35"/>
    <w:rsid w:val="00705D62"/>
    <w:rsid w:val="007062FE"/>
    <w:rsid w:val="00723412"/>
    <w:rsid w:val="00726571"/>
    <w:rsid w:val="00727882"/>
    <w:rsid w:val="00730117"/>
    <w:rsid w:val="00732E38"/>
    <w:rsid w:val="007341AD"/>
    <w:rsid w:val="00734C7E"/>
    <w:rsid w:val="0074493D"/>
    <w:rsid w:val="007455E5"/>
    <w:rsid w:val="00751AC9"/>
    <w:rsid w:val="007579AE"/>
    <w:rsid w:val="00757E5D"/>
    <w:rsid w:val="00761324"/>
    <w:rsid w:val="00761A41"/>
    <w:rsid w:val="00761F7D"/>
    <w:rsid w:val="00763E30"/>
    <w:rsid w:val="007658A4"/>
    <w:rsid w:val="00766B69"/>
    <w:rsid w:val="00767062"/>
    <w:rsid w:val="007675C1"/>
    <w:rsid w:val="00771730"/>
    <w:rsid w:val="00771F75"/>
    <w:rsid w:val="00776784"/>
    <w:rsid w:val="00777F72"/>
    <w:rsid w:val="00783F73"/>
    <w:rsid w:val="0078422B"/>
    <w:rsid w:val="007854A1"/>
    <w:rsid w:val="00791791"/>
    <w:rsid w:val="0079184E"/>
    <w:rsid w:val="007A0C2B"/>
    <w:rsid w:val="007A0EA3"/>
    <w:rsid w:val="007A4848"/>
    <w:rsid w:val="007A569B"/>
    <w:rsid w:val="007A64A7"/>
    <w:rsid w:val="007A6E84"/>
    <w:rsid w:val="007B11E1"/>
    <w:rsid w:val="007B1A50"/>
    <w:rsid w:val="007B534D"/>
    <w:rsid w:val="007B5D19"/>
    <w:rsid w:val="007C0B9D"/>
    <w:rsid w:val="007C113B"/>
    <w:rsid w:val="007C79C5"/>
    <w:rsid w:val="007D2B0C"/>
    <w:rsid w:val="007D662F"/>
    <w:rsid w:val="007E2B73"/>
    <w:rsid w:val="007E3312"/>
    <w:rsid w:val="007E4607"/>
    <w:rsid w:val="007E47B7"/>
    <w:rsid w:val="007E7619"/>
    <w:rsid w:val="007F1978"/>
    <w:rsid w:val="007F6E19"/>
    <w:rsid w:val="007F7B29"/>
    <w:rsid w:val="00800A21"/>
    <w:rsid w:val="00801F3C"/>
    <w:rsid w:val="00812A36"/>
    <w:rsid w:val="00812F84"/>
    <w:rsid w:val="0081513C"/>
    <w:rsid w:val="00821C83"/>
    <w:rsid w:val="008337DD"/>
    <w:rsid w:val="00835AA1"/>
    <w:rsid w:val="00836493"/>
    <w:rsid w:val="00836EA9"/>
    <w:rsid w:val="008430F0"/>
    <w:rsid w:val="008439C0"/>
    <w:rsid w:val="00846B69"/>
    <w:rsid w:val="00851D2E"/>
    <w:rsid w:val="008572B7"/>
    <w:rsid w:val="00867174"/>
    <w:rsid w:val="0086756D"/>
    <w:rsid w:val="0087057B"/>
    <w:rsid w:val="00872FE3"/>
    <w:rsid w:val="0087363F"/>
    <w:rsid w:val="00885A4F"/>
    <w:rsid w:val="00885E43"/>
    <w:rsid w:val="00887F3F"/>
    <w:rsid w:val="008953F2"/>
    <w:rsid w:val="00896C01"/>
    <w:rsid w:val="008977AD"/>
    <w:rsid w:val="008A09AB"/>
    <w:rsid w:val="008A1457"/>
    <w:rsid w:val="008A1F20"/>
    <w:rsid w:val="008A34D7"/>
    <w:rsid w:val="008A3941"/>
    <w:rsid w:val="008A3B41"/>
    <w:rsid w:val="008A4107"/>
    <w:rsid w:val="008B1DAB"/>
    <w:rsid w:val="008B2047"/>
    <w:rsid w:val="008B412E"/>
    <w:rsid w:val="008C7487"/>
    <w:rsid w:val="008D3599"/>
    <w:rsid w:val="008D3E96"/>
    <w:rsid w:val="008D53C9"/>
    <w:rsid w:val="008D79A9"/>
    <w:rsid w:val="008E409D"/>
    <w:rsid w:val="008E5CAB"/>
    <w:rsid w:val="008F4D1D"/>
    <w:rsid w:val="008F6FB6"/>
    <w:rsid w:val="008F75B8"/>
    <w:rsid w:val="009004AE"/>
    <w:rsid w:val="00901CD8"/>
    <w:rsid w:val="009075AB"/>
    <w:rsid w:val="00912021"/>
    <w:rsid w:val="00912E85"/>
    <w:rsid w:val="00913900"/>
    <w:rsid w:val="00915272"/>
    <w:rsid w:val="00922889"/>
    <w:rsid w:val="00923443"/>
    <w:rsid w:val="00924F4A"/>
    <w:rsid w:val="00925614"/>
    <w:rsid w:val="00925A20"/>
    <w:rsid w:val="009263C9"/>
    <w:rsid w:val="00931324"/>
    <w:rsid w:val="009368CD"/>
    <w:rsid w:val="0094036C"/>
    <w:rsid w:val="00947A4B"/>
    <w:rsid w:val="00947FFD"/>
    <w:rsid w:val="009500ED"/>
    <w:rsid w:val="009515A7"/>
    <w:rsid w:val="009540C2"/>
    <w:rsid w:val="00954EA3"/>
    <w:rsid w:val="00954F0A"/>
    <w:rsid w:val="00961131"/>
    <w:rsid w:val="0096474D"/>
    <w:rsid w:val="0097657E"/>
    <w:rsid w:val="0097693D"/>
    <w:rsid w:val="00986C4E"/>
    <w:rsid w:val="009875FB"/>
    <w:rsid w:val="009925BD"/>
    <w:rsid w:val="0099404F"/>
    <w:rsid w:val="0099467B"/>
    <w:rsid w:val="00994FE1"/>
    <w:rsid w:val="009963E1"/>
    <w:rsid w:val="009A012D"/>
    <w:rsid w:val="009A6369"/>
    <w:rsid w:val="009B34DE"/>
    <w:rsid w:val="009B49C2"/>
    <w:rsid w:val="009B6AA3"/>
    <w:rsid w:val="009B7644"/>
    <w:rsid w:val="009C62A1"/>
    <w:rsid w:val="009C704A"/>
    <w:rsid w:val="009D0BB3"/>
    <w:rsid w:val="009D32D2"/>
    <w:rsid w:val="009D57F3"/>
    <w:rsid w:val="009D63CD"/>
    <w:rsid w:val="009E10ED"/>
    <w:rsid w:val="009E2CFA"/>
    <w:rsid w:val="009F35EC"/>
    <w:rsid w:val="009F7A87"/>
    <w:rsid w:val="00A053DC"/>
    <w:rsid w:val="00A05F0A"/>
    <w:rsid w:val="00A0769A"/>
    <w:rsid w:val="00A160F8"/>
    <w:rsid w:val="00A178BE"/>
    <w:rsid w:val="00A22947"/>
    <w:rsid w:val="00A27996"/>
    <w:rsid w:val="00A300B7"/>
    <w:rsid w:val="00A30F63"/>
    <w:rsid w:val="00A323D4"/>
    <w:rsid w:val="00A3605D"/>
    <w:rsid w:val="00A40D72"/>
    <w:rsid w:val="00A564F5"/>
    <w:rsid w:val="00A60E53"/>
    <w:rsid w:val="00A644B4"/>
    <w:rsid w:val="00A649B0"/>
    <w:rsid w:val="00A6665F"/>
    <w:rsid w:val="00A7232D"/>
    <w:rsid w:val="00A725FC"/>
    <w:rsid w:val="00A73C57"/>
    <w:rsid w:val="00A7408F"/>
    <w:rsid w:val="00A76DB6"/>
    <w:rsid w:val="00A8133E"/>
    <w:rsid w:val="00A839AD"/>
    <w:rsid w:val="00A86015"/>
    <w:rsid w:val="00A90A47"/>
    <w:rsid w:val="00A94525"/>
    <w:rsid w:val="00AA2441"/>
    <w:rsid w:val="00AA68E0"/>
    <w:rsid w:val="00AA6D06"/>
    <w:rsid w:val="00AB0A2B"/>
    <w:rsid w:val="00AB5D9F"/>
    <w:rsid w:val="00AB6B85"/>
    <w:rsid w:val="00AC35D0"/>
    <w:rsid w:val="00AC3EC7"/>
    <w:rsid w:val="00AC75D3"/>
    <w:rsid w:val="00AD2F40"/>
    <w:rsid w:val="00AD3C97"/>
    <w:rsid w:val="00AD5F62"/>
    <w:rsid w:val="00AD7791"/>
    <w:rsid w:val="00AE0039"/>
    <w:rsid w:val="00AE4F8F"/>
    <w:rsid w:val="00AF37EA"/>
    <w:rsid w:val="00B0180D"/>
    <w:rsid w:val="00B110B6"/>
    <w:rsid w:val="00B1692A"/>
    <w:rsid w:val="00B21612"/>
    <w:rsid w:val="00B21F5D"/>
    <w:rsid w:val="00B32400"/>
    <w:rsid w:val="00B32D2F"/>
    <w:rsid w:val="00B32E9A"/>
    <w:rsid w:val="00B336C3"/>
    <w:rsid w:val="00B44D55"/>
    <w:rsid w:val="00B4510C"/>
    <w:rsid w:val="00B4613E"/>
    <w:rsid w:val="00B51453"/>
    <w:rsid w:val="00B51F00"/>
    <w:rsid w:val="00B53CF7"/>
    <w:rsid w:val="00B53E2C"/>
    <w:rsid w:val="00B5436D"/>
    <w:rsid w:val="00B557DA"/>
    <w:rsid w:val="00B55EC4"/>
    <w:rsid w:val="00B563CE"/>
    <w:rsid w:val="00B60BE4"/>
    <w:rsid w:val="00B60F59"/>
    <w:rsid w:val="00B63574"/>
    <w:rsid w:val="00B65514"/>
    <w:rsid w:val="00B66ECB"/>
    <w:rsid w:val="00B67FBB"/>
    <w:rsid w:val="00B737C3"/>
    <w:rsid w:val="00B84498"/>
    <w:rsid w:val="00B844A4"/>
    <w:rsid w:val="00B84C47"/>
    <w:rsid w:val="00B84F14"/>
    <w:rsid w:val="00B87C43"/>
    <w:rsid w:val="00B908FF"/>
    <w:rsid w:val="00B92650"/>
    <w:rsid w:val="00B93614"/>
    <w:rsid w:val="00B96CA5"/>
    <w:rsid w:val="00B97CA3"/>
    <w:rsid w:val="00B97CFC"/>
    <w:rsid w:val="00BA3EEE"/>
    <w:rsid w:val="00BA4F50"/>
    <w:rsid w:val="00BB24D4"/>
    <w:rsid w:val="00BC0879"/>
    <w:rsid w:val="00BC1254"/>
    <w:rsid w:val="00BC1408"/>
    <w:rsid w:val="00BC3AB3"/>
    <w:rsid w:val="00BC4333"/>
    <w:rsid w:val="00BC501F"/>
    <w:rsid w:val="00BC651A"/>
    <w:rsid w:val="00BC68C0"/>
    <w:rsid w:val="00BD01FE"/>
    <w:rsid w:val="00BD1F99"/>
    <w:rsid w:val="00BD36FD"/>
    <w:rsid w:val="00BD4D52"/>
    <w:rsid w:val="00BD55CA"/>
    <w:rsid w:val="00BD6BB0"/>
    <w:rsid w:val="00BE0CFE"/>
    <w:rsid w:val="00BE3C05"/>
    <w:rsid w:val="00BE44B1"/>
    <w:rsid w:val="00BE5DB5"/>
    <w:rsid w:val="00BE7B45"/>
    <w:rsid w:val="00BF5C85"/>
    <w:rsid w:val="00BF6768"/>
    <w:rsid w:val="00BF7A9C"/>
    <w:rsid w:val="00BF7D94"/>
    <w:rsid w:val="00BF7FD4"/>
    <w:rsid w:val="00C003FD"/>
    <w:rsid w:val="00C00F6B"/>
    <w:rsid w:val="00C0343B"/>
    <w:rsid w:val="00C04B3D"/>
    <w:rsid w:val="00C10EC1"/>
    <w:rsid w:val="00C11FCC"/>
    <w:rsid w:val="00C1391B"/>
    <w:rsid w:val="00C17084"/>
    <w:rsid w:val="00C25889"/>
    <w:rsid w:val="00C31617"/>
    <w:rsid w:val="00C33E15"/>
    <w:rsid w:val="00C34589"/>
    <w:rsid w:val="00C34AF5"/>
    <w:rsid w:val="00C4372F"/>
    <w:rsid w:val="00C43D3A"/>
    <w:rsid w:val="00C45491"/>
    <w:rsid w:val="00C46214"/>
    <w:rsid w:val="00C46586"/>
    <w:rsid w:val="00C471C8"/>
    <w:rsid w:val="00C56CEE"/>
    <w:rsid w:val="00C627D9"/>
    <w:rsid w:val="00C63C06"/>
    <w:rsid w:val="00C65064"/>
    <w:rsid w:val="00C65C5C"/>
    <w:rsid w:val="00C717BC"/>
    <w:rsid w:val="00C81F1F"/>
    <w:rsid w:val="00C85B00"/>
    <w:rsid w:val="00C908BB"/>
    <w:rsid w:val="00C92A76"/>
    <w:rsid w:val="00C937E3"/>
    <w:rsid w:val="00CA0376"/>
    <w:rsid w:val="00CA1F9F"/>
    <w:rsid w:val="00CA32AE"/>
    <w:rsid w:val="00CA47B7"/>
    <w:rsid w:val="00CA551B"/>
    <w:rsid w:val="00CB313A"/>
    <w:rsid w:val="00CC3B02"/>
    <w:rsid w:val="00CC3B17"/>
    <w:rsid w:val="00CC4FE0"/>
    <w:rsid w:val="00CC58B2"/>
    <w:rsid w:val="00CC7460"/>
    <w:rsid w:val="00CD24F2"/>
    <w:rsid w:val="00CE2B50"/>
    <w:rsid w:val="00CE2EDC"/>
    <w:rsid w:val="00CE57CE"/>
    <w:rsid w:val="00CF1A9A"/>
    <w:rsid w:val="00CF6CC8"/>
    <w:rsid w:val="00CF742E"/>
    <w:rsid w:val="00D0196B"/>
    <w:rsid w:val="00D025CB"/>
    <w:rsid w:val="00D03ED5"/>
    <w:rsid w:val="00D04EAF"/>
    <w:rsid w:val="00D11979"/>
    <w:rsid w:val="00D12099"/>
    <w:rsid w:val="00D146CA"/>
    <w:rsid w:val="00D14C69"/>
    <w:rsid w:val="00D207F7"/>
    <w:rsid w:val="00D23BD8"/>
    <w:rsid w:val="00D33F46"/>
    <w:rsid w:val="00D36894"/>
    <w:rsid w:val="00D416CF"/>
    <w:rsid w:val="00D420F8"/>
    <w:rsid w:val="00D4249D"/>
    <w:rsid w:val="00D435CF"/>
    <w:rsid w:val="00D45735"/>
    <w:rsid w:val="00D47FC4"/>
    <w:rsid w:val="00D519A0"/>
    <w:rsid w:val="00D56AF4"/>
    <w:rsid w:val="00D6185C"/>
    <w:rsid w:val="00D706C8"/>
    <w:rsid w:val="00D74BEB"/>
    <w:rsid w:val="00D80C11"/>
    <w:rsid w:val="00D8331B"/>
    <w:rsid w:val="00D83A5F"/>
    <w:rsid w:val="00D84284"/>
    <w:rsid w:val="00D85151"/>
    <w:rsid w:val="00D86FBF"/>
    <w:rsid w:val="00D8721B"/>
    <w:rsid w:val="00D87E40"/>
    <w:rsid w:val="00D9067A"/>
    <w:rsid w:val="00DA25F9"/>
    <w:rsid w:val="00DA5222"/>
    <w:rsid w:val="00DA6039"/>
    <w:rsid w:val="00DA6ABB"/>
    <w:rsid w:val="00DA6B13"/>
    <w:rsid w:val="00DA6F8F"/>
    <w:rsid w:val="00DB0A20"/>
    <w:rsid w:val="00DB1C4C"/>
    <w:rsid w:val="00DB2037"/>
    <w:rsid w:val="00DB299D"/>
    <w:rsid w:val="00DC0D9D"/>
    <w:rsid w:val="00DD049E"/>
    <w:rsid w:val="00DD2935"/>
    <w:rsid w:val="00DE2576"/>
    <w:rsid w:val="00DE55F7"/>
    <w:rsid w:val="00DE603E"/>
    <w:rsid w:val="00DE6887"/>
    <w:rsid w:val="00DF1CB4"/>
    <w:rsid w:val="00DF66A5"/>
    <w:rsid w:val="00E0080E"/>
    <w:rsid w:val="00E039C3"/>
    <w:rsid w:val="00E104AC"/>
    <w:rsid w:val="00E16A3B"/>
    <w:rsid w:val="00E16F89"/>
    <w:rsid w:val="00E26040"/>
    <w:rsid w:val="00E26B38"/>
    <w:rsid w:val="00E272F3"/>
    <w:rsid w:val="00E2771D"/>
    <w:rsid w:val="00E436BA"/>
    <w:rsid w:val="00E437CA"/>
    <w:rsid w:val="00E5416E"/>
    <w:rsid w:val="00E662A5"/>
    <w:rsid w:val="00E72787"/>
    <w:rsid w:val="00E762D3"/>
    <w:rsid w:val="00E8236C"/>
    <w:rsid w:val="00E82681"/>
    <w:rsid w:val="00E91EBB"/>
    <w:rsid w:val="00E920E1"/>
    <w:rsid w:val="00E9747F"/>
    <w:rsid w:val="00E97EAF"/>
    <w:rsid w:val="00EA3F2D"/>
    <w:rsid w:val="00EA45AF"/>
    <w:rsid w:val="00EB030A"/>
    <w:rsid w:val="00EC695D"/>
    <w:rsid w:val="00EC6F30"/>
    <w:rsid w:val="00ED0CC5"/>
    <w:rsid w:val="00ED355D"/>
    <w:rsid w:val="00ED61C5"/>
    <w:rsid w:val="00ED74DF"/>
    <w:rsid w:val="00EE0EB6"/>
    <w:rsid w:val="00EE0F7A"/>
    <w:rsid w:val="00EE6701"/>
    <w:rsid w:val="00EF3221"/>
    <w:rsid w:val="00F00E85"/>
    <w:rsid w:val="00F04951"/>
    <w:rsid w:val="00F059EC"/>
    <w:rsid w:val="00F0634F"/>
    <w:rsid w:val="00F06B7F"/>
    <w:rsid w:val="00F06D21"/>
    <w:rsid w:val="00F124DD"/>
    <w:rsid w:val="00F126C1"/>
    <w:rsid w:val="00F12951"/>
    <w:rsid w:val="00F13D1C"/>
    <w:rsid w:val="00F21502"/>
    <w:rsid w:val="00F2160B"/>
    <w:rsid w:val="00F27DA2"/>
    <w:rsid w:val="00F30739"/>
    <w:rsid w:val="00F30F28"/>
    <w:rsid w:val="00F3391A"/>
    <w:rsid w:val="00F348E7"/>
    <w:rsid w:val="00F34E92"/>
    <w:rsid w:val="00F357C3"/>
    <w:rsid w:val="00F36955"/>
    <w:rsid w:val="00F36D0A"/>
    <w:rsid w:val="00F4180B"/>
    <w:rsid w:val="00F42BD2"/>
    <w:rsid w:val="00F43D32"/>
    <w:rsid w:val="00F50A15"/>
    <w:rsid w:val="00F63206"/>
    <w:rsid w:val="00F64E94"/>
    <w:rsid w:val="00F65213"/>
    <w:rsid w:val="00F6631E"/>
    <w:rsid w:val="00F707B5"/>
    <w:rsid w:val="00F7286E"/>
    <w:rsid w:val="00F75DB7"/>
    <w:rsid w:val="00F77774"/>
    <w:rsid w:val="00F8484D"/>
    <w:rsid w:val="00F84FCD"/>
    <w:rsid w:val="00F850B3"/>
    <w:rsid w:val="00F91625"/>
    <w:rsid w:val="00F927C1"/>
    <w:rsid w:val="00F93713"/>
    <w:rsid w:val="00F94D6E"/>
    <w:rsid w:val="00F970CB"/>
    <w:rsid w:val="00F97AEC"/>
    <w:rsid w:val="00FB5057"/>
    <w:rsid w:val="00FC1A9E"/>
    <w:rsid w:val="00FC2ABA"/>
    <w:rsid w:val="00FD194E"/>
    <w:rsid w:val="00FD20CE"/>
    <w:rsid w:val="00FD28C6"/>
    <w:rsid w:val="00FD2CA9"/>
    <w:rsid w:val="00FD6111"/>
    <w:rsid w:val="00FE1AAC"/>
    <w:rsid w:val="00FE5616"/>
    <w:rsid w:val="00FE7315"/>
    <w:rsid w:val="00FF1F1C"/>
    <w:rsid w:val="00FF3AD6"/>
    <w:rsid w:val="704D7646"/>
    <w:rsid w:val="72BE519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D424"/>
  <w15:docId w15:val="{4935E013-C593-4F89-82BE-7CF9C0E6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75"/>
    <w:pPr>
      <w:spacing w:after="120"/>
      <w:jc w:val="both"/>
    </w:pPr>
    <w:rPr>
      <w:sz w:val="24"/>
      <w:szCs w:val="22"/>
      <w:lang w:val="en-US" w:eastAsia="en-US" w:bidi="en-US"/>
    </w:rPr>
  </w:style>
  <w:style w:type="paragraph" w:styleId="Heading1">
    <w:name w:val="heading 1"/>
    <w:basedOn w:val="Normal"/>
    <w:next w:val="Normal"/>
    <w:link w:val="Heading1Char"/>
    <w:uiPriority w:val="9"/>
    <w:qFormat/>
    <w:rsid w:val="002E154D"/>
    <w:pPr>
      <w:spacing w:after="360"/>
      <w:jc w:val="center"/>
      <w:outlineLvl w:val="0"/>
    </w:pPr>
    <w:rPr>
      <w:b/>
      <w:bCs/>
      <w:sz w:val="32"/>
      <w:szCs w:val="28"/>
      <w:lang w:bidi="ar-SA"/>
    </w:rPr>
  </w:style>
  <w:style w:type="paragraph" w:styleId="Heading2">
    <w:name w:val="heading 2"/>
    <w:basedOn w:val="Normal"/>
    <w:next w:val="Normal"/>
    <w:link w:val="Heading2Char"/>
    <w:uiPriority w:val="9"/>
    <w:unhideWhenUsed/>
    <w:qFormat/>
    <w:rsid w:val="007D2B0C"/>
    <w:pPr>
      <w:spacing w:before="240" w:after="720"/>
      <w:jc w:val="center"/>
      <w:outlineLvl w:val="1"/>
    </w:pPr>
    <w:rPr>
      <w:b/>
      <w:bCs/>
      <w:szCs w:val="26"/>
      <w:lang w:bidi="ar-SA"/>
    </w:rPr>
  </w:style>
  <w:style w:type="paragraph" w:styleId="Heading3">
    <w:name w:val="heading 3"/>
    <w:basedOn w:val="Normal"/>
    <w:next w:val="Normal"/>
    <w:link w:val="Heading3Char"/>
    <w:uiPriority w:val="9"/>
    <w:unhideWhenUsed/>
    <w:qFormat/>
    <w:rsid w:val="007D2B0C"/>
    <w:pPr>
      <w:jc w:val="center"/>
      <w:outlineLvl w:val="2"/>
    </w:pPr>
    <w:rPr>
      <w:b/>
      <w:bCs/>
      <w:sz w:val="26"/>
      <w:lang w:bidi="ar-SA"/>
    </w:rPr>
  </w:style>
  <w:style w:type="paragraph" w:styleId="Heading4">
    <w:name w:val="heading 4"/>
    <w:basedOn w:val="Normal"/>
    <w:next w:val="Normal"/>
    <w:link w:val="Heading4Char"/>
    <w:uiPriority w:val="9"/>
    <w:unhideWhenUsed/>
    <w:rsid w:val="006C1599"/>
    <w:pPr>
      <w:numPr>
        <w:ilvl w:val="3"/>
        <w:numId w:val="4"/>
      </w:numPr>
      <w:spacing w:before="240"/>
      <w:outlineLvl w:val="3"/>
    </w:pPr>
    <w:rPr>
      <w:bCs/>
      <w:iCs/>
      <w:lang w:bidi="ar-SA"/>
    </w:rPr>
  </w:style>
  <w:style w:type="paragraph" w:styleId="Heading5">
    <w:name w:val="heading 5"/>
    <w:basedOn w:val="Normal"/>
    <w:next w:val="Normal"/>
    <w:link w:val="Heading5Char"/>
    <w:uiPriority w:val="9"/>
    <w:unhideWhenUsed/>
    <w:rsid w:val="006C1599"/>
    <w:pPr>
      <w:numPr>
        <w:ilvl w:val="4"/>
        <w:numId w:val="4"/>
      </w:numPr>
      <w:spacing w:before="240"/>
      <w:outlineLvl w:val="4"/>
    </w:pPr>
    <w:rPr>
      <w:bCs/>
      <w:lang w:bidi="ar-SA"/>
    </w:rPr>
  </w:style>
  <w:style w:type="paragraph" w:styleId="Heading6">
    <w:name w:val="heading 6"/>
    <w:basedOn w:val="Normal"/>
    <w:next w:val="Normal"/>
    <w:link w:val="Heading6Char"/>
    <w:uiPriority w:val="9"/>
    <w:unhideWhenUsed/>
    <w:rsid w:val="006C1599"/>
    <w:pPr>
      <w:numPr>
        <w:ilvl w:val="5"/>
        <w:numId w:val="4"/>
      </w:numPr>
      <w:spacing w:before="240"/>
      <w:outlineLvl w:val="5"/>
    </w:pPr>
    <w:rPr>
      <w:bCs/>
      <w:iCs/>
      <w:lang w:bidi="ar-SA"/>
    </w:rPr>
  </w:style>
  <w:style w:type="paragraph" w:styleId="Heading7">
    <w:name w:val="heading 7"/>
    <w:basedOn w:val="Normal"/>
    <w:next w:val="Normal"/>
    <w:link w:val="Heading7Char"/>
    <w:uiPriority w:val="9"/>
    <w:unhideWhenUsed/>
    <w:rsid w:val="006C1599"/>
    <w:pPr>
      <w:numPr>
        <w:ilvl w:val="6"/>
        <w:numId w:val="4"/>
      </w:numPr>
      <w:spacing w:before="240"/>
      <w:outlineLvl w:val="6"/>
    </w:pPr>
    <w:rPr>
      <w:iCs/>
      <w:lang w:bidi="ar-SA"/>
    </w:rPr>
  </w:style>
  <w:style w:type="paragraph" w:styleId="Heading8">
    <w:name w:val="heading 8"/>
    <w:basedOn w:val="Normal"/>
    <w:next w:val="Normal"/>
    <w:link w:val="Heading8Char"/>
    <w:uiPriority w:val="9"/>
    <w:unhideWhenUsed/>
    <w:rsid w:val="006C1599"/>
    <w:pPr>
      <w:numPr>
        <w:ilvl w:val="7"/>
        <w:numId w:val="4"/>
      </w:numPr>
      <w:spacing w:before="240"/>
      <w:outlineLvl w:val="7"/>
    </w:pPr>
    <w:rPr>
      <w:szCs w:val="20"/>
      <w:lang w:bidi="ar-SA"/>
    </w:rPr>
  </w:style>
  <w:style w:type="paragraph" w:styleId="Heading9">
    <w:name w:val="heading 9"/>
    <w:basedOn w:val="Normal"/>
    <w:next w:val="Normal"/>
    <w:link w:val="Heading9Char"/>
    <w:uiPriority w:val="9"/>
    <w:semiHidden/>
    <w:unhideWhenUsed/>
    <w:rsid w:val="006C1599"/>
    <w:pPr>
      <w:numPr>
        <w:ilvl w:val="8"/>
        <w:numId w:val="2"/>
      </w:numPr>
      <w:spacing w:before="240"/>
      <w:ind w:left="1814" w:hanging="1814"/>
      <w:outlineLvl w:val="8"/>
    </w:pPr>
    <w:rPr>
      <w:iCs/>
      <w:spacing w:val="5"/>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BSMultilevelBullets1">
    <w:name w:val="SBS_Multilevel_Bullets_1"/>
    <w:basedOn w:val="NoList"/>
    <w:uiPriority w:val="99"/>
    <w:rsid w:val="00014F77"/>
    <w:pPr>
      <w:numPr>
        <w:numId w:val="1"/>
      </w:numPr>
    </w:pPr>
  </w:style>
  <w:style w:type="character" w:customStyle="1" w:styleId="Heading1Char">
    <w:name w:val="Heading 1 Char"/>
    <w:link w:val="Heading1"/>
    <w:uiPriority w:val="9"/>
    <w:rsid w:val="002E154D"/>
    <w:rPr>
      <w:rFonts w:ascii="Times New Roman" w:eastAsia="Times New Roman" w:hAnsi="Times New Roman" w:cs="Times New Roman"/>
      <w:b/>
      <w:bCs/>
      <w:sz w:val="32"/>
      <w:szCs w:val="28"/>
    </w:rPr>
  </w:style>
  <w:style w:type="character" w:customStyle="1" w:styleId="Heading2Char">
    <w:name w:val="Heading 2 Char"/>
    <w:link w:val="Heading2"/>
    <w:uiPriority w:val="9"/>
    <w:rsid w:val="007D2B0C"/>
    <w:rPr>
      <w:rFonts w:ascii="Times New Roman" w:eastAsia="Times New Roman" w:hAnsi="Times New Roman" w:cs="Times New Roman"/>
      <w:b/>
      <w:bCs/>
      <w:sz w:val="24"/>
      <w:szCs w:val="26"/>
    </w:rPr>
  </w:style>
  <w:style w:type="character" w:customStyle="1" w:styleId="Heading3Char">
    <w:name w:val="Heading 3 Char"/>
    <w:link w:val="Heading3"/>
    <w:uiPriority w:val="9"/>
    <w:rsid w:val="007D2B0C"/>
    <w:rPr>
      <w:rFonts w:ascii="Times New Roman" w:eastAsia="Times New Roman" w:hAnsi="Times New Roman" w:cs="Times New Roman"/>
      <w:b/>
      <w:bCs/>
      <w:sz w:val="26"/>
    </w:rPr>
  </w:style>
  <w:style w:type="character" w:customStyle="1" w:styleId="Heading4Char">
    <w:name w:val="Heading 4 Char"/>
    <w:link w:val="Heading4"/>
    <w:uiPriority w:val="9"/>
    <w:rsid w:val="006C1599"/>
    <w:rPr>
      <w:rFonts w:ascii="Times New Roman" w:eastAsia="Times New Roman" w:hAnsi="Times New Roman" w:cs="Times New Roman"/>
      <w:bCs/>
      <w:iCs/>
      <w:sz w:val="24"/>
    </w:rPr>
  </w:style>
  <w:style w:type="character" w:customStyle="1" w:styleId="Heading5Char">
    <w:name w:val="Heading 5 Char"/>
    <w:link w:val="Heading5"/>
    <w:uiPriority w:val="9"/>
    <w:rsid w:val="006C1599"/>
    <w:rPr>
      <w:rFonts w:ascii="Times New Roman" w:eastAsia="Times New Roman" w:hAnsi="Times New Roman" w:cs="Times New Roman"/>
      <w:bCs/>
      <w:sz w:val="24"/>
    </w:rPr>
  </w:style>
  <w:style w:type="numbering" w:customStyle="1" w:styleId="SBSMultilevelList1">
    <w:name w:val="SBS_Multilevel_List_1"/>
    <w:basedOn w:val="NoList"/>
    <w:uiPriority w:val="99"/>
    <w:rsid w:val="00B84498"/>
    <w:pPr>
      <w:numPr>
        <w:numId w:val="2"/>
      </w:numPr>
    </w:pPr>
  </w:style>
  <w:style w:type="numbering" w:customStyle="1" w:styleId="SBSMultilevelList2">
    <w:name w:val="SBS_Multilevel_List_2"/>
    <w:basedOn w:val="NoList"/>
    <w:uiPriority w:val="99"/>
    <w:rsid w:val="009515A7"/>
    <w:pPr>
      <w:numPr>
        <w:numId w:val="3"/>
      </w:numPr>
    </w:pPr>
  </w:style>
  <w:style w:type="character" w:customStyle="1" w:styleId="Heading6Char">
    <w:name w:val="Heading 6 Char"/>
    <w:link w:val="Heading6"/>
    <w:uiPriority w:val="9"/>
    <w:rsid w:val="006C1599"/>
    <w:rPr>
      <w:rFonts w:ascii="Times New Roman" w:eastAsia="Times New Roman" w:hAnsi="Times New Roman" w:cs="Times New Roman"/>
      <w:bCs/>
      <w:iCs/>
      <w:sz w:val="24"/>
    </w:rPr>
  </w:style>
  <w:style w:type="character" w:customStyle="1" w:styleId="Heading7Char">
    <w:name w:val="Heading 7 Char"/>
    <w:link w:val="Heading7"/>
    <w:uiPriority w:val="9"/>
    <w:rsid w:val="006C1599"/>
    <w:rPr>
      <w:rFonts w:ascii="Times New Roman" w:eastAsia="Times New Roman" w:hAnsi="Times New Roman" w:cs="Times New Roman"/>
      <w:iCs/>
      <w:sz w:val="24"/>
    </w:rPr>
  </w:style>
  <w:style w:type="character" w:customStyle="1" w:styleId="Heading8Char">
    <w:name w:val="Heading 8 Char"/>
    <w:link w:val="Heading8"/>
    <w:uiPriority w:val="9"/>
    <w:rsid w:val="006C1599"/>
    <w:rPr>
      <w:rFonts w:ascii="Times New Roman" w:eastAsia="Times New Roman" w:hAnsi="Times New Roman" w:cs="Times New Roman"/>
      <w:sz w:val="24"/>
      <w:szCs w:val="20"/>
    </w:rPr>
  </w:style>
  <w:style w:type="character" w:customStyle="1" w:styleId="Heading9Char">
    <w:name w:val="Heading 9 Char"/>
    <w:link w:val="Heading9"/>
    <w:uiPriority w:val="9"/>
    <w:semiHidden/>
    <w:rsid w:val="006C1599"/>
    <w:rPr>
      <w:rFonts w:ascii="Times New Roman" w:eastAsia="Times New Roman" w:hAnsi="Times New Roman" w:cs="Times New Roman"/>
      <w:iCs/>
      <w:spacing w:val="5"/>
      <w:sz w:val="24"/>
      <w:szCs w:val="20"/>
    </w:rPr>
  </w:style>
  <w:style w:type="paragraph" w:styleId="Title">
    <w:name w:val="Title"/>
    <w:basedOn w:val="Normal"/>
    <w:next w:val="Normal"/>
    <w:link w:val="TitleChar"/>
    <w:uiPriority w:val="10"/>
    <w:rsid w:val="006C1599"/>
    <w:pPr>
      <w:pBdr>
        <w:bottom w:val="single" w:sz="4" w:space="1" w:color="auto"/>
      </w:pBdr>
      <w:spacing w:after="480"/>
      <w:jc w:val="center"/>
    </w:pPr>
    <w:rPr>
      <w:spacing w:val="5"/>
      <w:sz w:val="48"/>
      <w:szCs w:val="52"/>
      <w:lang w:bidi="ar-SA"/>
    </w:rPr>
  </w:style>
  <w:style w:type="character" w:customStyle="1" w:styleId="TitleChar">
    <w:name w:val="Title Char"/>
    <w:link w:val="Title"/>
    <w:uiPriority w:val="10"/>
    <w:rsid w:val="006C1599"/>
    <w:rPr>
      <w:rFonts w:ascii="Times New Roman" w:eastAsia="Times New Roman" w:hAnsi="Times New Roman" w:cs="Times New Roman"/>
      <w:spacing w:val="5"/>
      <w:sz w:val="48"/>
      <w:szCs w:val="52"/>
    </w:rPr>
  </w:style>
  <w:style w:type="paragraph" w:styleId="Subtitle">
    <w:name w:val="Subtitle"/>
    <w:basedOn w:val="Normal"/>
    <w:next w:val="Normal"/>
    <w:link w:val="SubtitleChar"/>
    <w:uiPriority w:val="11"/>
    <w:rsid w:val="006C1599"/>
    <w:pPr>
      <w:spacing w:after="360"/>
      <w:jc w:val="center"/>
    </w:pPr>
    <w:rPr>
      <w:i/>
      <w:iCs/>
      <w:spacing w:val="13"/>
      <w:sz w:val="36"/>
      <w:szCs w:val="24"/>
      <w:lang w:bidi="ar-SA"/>
    </w:rPr>
  </w:style>
  <w:style w:type="character" w:customStyle="1" w:styleId="SubtitleChar">
    <w:name w:val="Subtitle Char"/>
    <w:link w:val="Subtitle"/>
    <w:uiPriority w:val="11"/>
    <w:rsid w:val="006C1599"/>
    <w:rPr>
      <w:rFonts w:ascii="Times New Roman" w:eastAsia="Times New Roman" w:hAnsi="Times New Roman" w:cs="Times New Roman"/>
      <w:i/>
      <w:iCs/>
      <w:spacing w:val="13"/>
      <w:sz w:val="36"/>
      <w:szCs w:val="24"/>
    </w:rPr>
  </w:style>
  <w:style w:type="character" w:styleId="Strong">
    <w:name w:val="Strong"/>
    <w:uiPriority w:val="22"/>
    <w:qFormat/>
    <w:rsid w:val="006C1599"/>
    <w:rPr>
      <w:b/>
      <w:bCs/>
    </w:rPr>
  </w:style>
  <w:style w:type="character" w:styleId="Emphasis">
    <w:name w:val="Emphasis"/>
    <w:uiPriority w:val="20"/>
    <w:rsid w:val="006C1599"/>
    <w:rPr>
      <w:b/>
      <w:bCs/>
      <w:i/>
      <w:iCs/>
      <w:spacing w:val="10"/>
      <w:bdr w:val="none" w:sz="0" w:space="0" w:color="auto"/>
      <w:shd w:val="clear" w:color="auto" w:fill="auto"/>
    </w:rPr>
  </w:style>
  <w:style w:type="paragraph" w:styleId="NoSpacing">
    <w:name w:val="No Spacing"/>
    <w:basedOn w:val="Normal"/>
    <w:qFormat/>
    <w:rsid w:val="006C1599"/>
    <w:pPr>
      <w:spacing w:after="0"/>
    </w:pPr>
    <w:rPr>
      <w:lang w:bidi="ar-SA"/>
    </w:rPr>
  </w:style>
  <w:style w:type="paragraph" w:styleId="ListParagraph">
    <w:name w:val="List Paragraph"/>
    <w:basedOn w:val="Normal"/>
    <w:uiPriority w:val="34"/>
    <w:qFormat/>
    <w:rsid w:val="006C1599"/>
    <w:pPr>
      <w:ind w:left="720"/>
      <w:contextualSpacing/>
    </w:pPr>
    <w:rPr>
      <w:lang w:bidi="ar-SA"/>
    </w:rPr>
  </w:style>
  <w:style w:type="character" w:styleId="SubtleEmphasis">
    <w:name w:val="Subtle Emphasis"/>
    <w:uiPriority w:val="19"/>
    <w:rsid w:val="006C1599"/>
    <w:rPr>
      <w:i/>
      <w:iCs/>
    </w:rPr>
  </w:style>
  <w:style w:type="character" w:styleId="IntenseEmphasis">
    <w:name w:val="Intense Emphasis"/>
    <w:uiPriority w:val="21"/>
    <w:rsid w:val="006C1599"/>
    <w:rPr>
      <w:b/>
      <w:bCs/>
    </w:rPr>
  </w:style>
  <w:style w:type="character" w:styleId="SubtleReference">
    <w:name w:val="Subtle Reference"/>
    <w:uiPriority w:val="31"/>
    <w:rsid w:val="006C1599"/>
    <w:rPr>
      <w:smallCaps/>
    </w:rPr>
  </w:style>
  <w:style w:type="character" w:styleId="IntenseReference">
    <w:name w:val="Intense Reference"/>
    <w:uiPriority w:val="32"/>
    <w:rsid w:val="006C1599"/>
    <w:rPr>
      <w:smallCaps/>
      <w:spacing w:val="5"/>
      <w:u w:val="single"/>
    </w:rPr>
  </w:style>
  <w:style w:type="character" w:styleId="BookTitle">
    <w:name w:val="Book Title"/>
    <w:uiPriority w:val="33"/>
    <w:rsid w:val="006C1599"/>
    <w:rPr>
      <w:i/>
      <w:iCs/>
      <w:smallCaps/>
      <w:spacing w:val="5"/>
    </w:rPr>
  </w:style>
  <w:style w:type="paragraph" w:styleId="TOCHeading">
    <w:name w:val="TOC Heading"/>
    <w:basedOn w:val="Heading1"/>
    <w:next w:val="Normal"/>
    <w:uiPriority w:val="39"/>
    <w:semiHidden/>
    <w:unhideWhenUsed/>
    <w:qFormat/>
    <w:rsid w:val="006C1599"/>
    <w:pPr>
      <w:outlineLvl w:val="9"/>
    </w:pPr>
    <w:rPr>
      <w:lang w:bidi="en-US"/>
    </w:rPr>
  </w:style>
  <w:style w:type="paragraph" w:styleId="BodyText">
    <w:name w:val="Body Text"/>
    <w:basedOn w:val="Normal"/>
    <w:link w:val="BodyTextChar"/>
    <w:semiHidden/>
    <w:rsid w:val="00B737C3"/>
    <w:pPr>
      <w:spacing w:before="113" w:after="113"/>
    </w:pPr>
    <w:rPr>
      <w:sz w:val="22"/>
    </w:rPr>
  </w:style>
  <w:style w:type="character" w:customStyle="1" w:styleId="BodyTextChar">
    <w:name w:val="Body Text Char"/>
    <w:link w:val="BodyText"/>
    <w:semiHidden/>
    <w:rsid w:val="00B737C3"/>
    <w:rPr>
      <w:rFonts w:ascii="Palatino Linotype" w:eastAsia="Times New Roman" w:hAnsi="Palatino Linotype"/>
      <w:lang w:bidi="en-US"/>
    </w:rPr>
  </w:style>
  <w:style w:type="paragraph" w:styleId="Footer">
    <w:name w:val="footer"/>
    <w:basedOn w:val="Normal"/>
    <w:link w:val="FooterChar"/>
    <w:uiPriority w:val="99"/>
    <w:qFormat/>
    <w:rsid w:val="006F19B3"/>
    <w:pPr>
      <w:suppressLineNumbers/>
      <w:spacing w:after="0"/>
    </w:pPr>
    <w:rPr>
      <w:sz w:val="20"/>
    </w:rPr>
  </w:style>
  <w:style w:type="character" w:customStyle="1" w:styleId="FooterChar">
    <w:name w:val="Footer Char"/>
    <w:link w:val="Footer"/>
    <w:uiPriority w:val="99"/>
    <w:rsid w:val="006F19B3"/>
    <w:rPr>
      <w:rFonts w:ascii="Times New Roman" w:eastAsia="Times New Roman" w:hAnsi="Times New Roman"/>
      <w:sz w:val="20"/>
      <w:lang w:bidi="en-US"/>
    </w:rPr>
  </w:style>
  <w:style w:type="paragraph" w:styleId="Header">
    <w:name w:val="header"/>
    <w:basedOn w:val="Normal"/>
    <w:next w:val="Normal"/>
    <w:link w:val="HeaderChar"/>
    <w:semiHidden/>
    <w:qFormat/>
    <w:rsid w:val="006F19B3"/>
    <w:pPr>
      <w:spacing w:after="0"/>
    </w:pPr>
    <w:rPr>
      <w:sz w:val="20"/>
    </w:rPr>
  </w:style>
  <w:style w:type="character" w:customStyle="1" w:styleId="HeaderChar">
    <w:name w:val="Header Char"/>
    <w:link w:val="Header"/>
    <w:semiHidden/>
    <w:rsid w:val="006F19B3"/>
    <w:rPr>
      <w:rFonts w:ascii="Times New Roman" w:eastAsia="Times New Roman" w:hAnsi="Times New Roman"/>
      <w:sz w:val="20"/>
      <w:lang w:bidi="en-US"/>
    </w:rPr>
  </w:style>
  <w:style w:type="paragraph" w:styleId="BalloonText">
    <w:name w:val="Balloon Text"/>
    <w:basedOn w:val="Normal"/>
    <w:link w:val="BalloonTextChar"/>
    <w:uiPriority w:val="99"/>
    <w:semiHidden/>
    <w:unhideWhenUsed/>
    <w:rsid w:val="003F7D80"/>
    <w:pPr>
      <w:spacing w:after="0"/>
    </w:pPr>
    <w:rPr>
      <w:rFonts w:ascii="Tahoma" w:hAnsi="Tahoma" w:cs="Tahoma"/>
      <w:sz w:val="16"/>
      <w:szCs w:val="16"/>
    </w:rPr>
  </w:style>
  <w:style w:type="character" w:customStyle="1" w:styleId="BalloonTextChar">
    <w:name w:val="Balloon Text Char"/>
    <w:link w:val="BalloonText"/>
    <w:uiPriority w:val="99"/>
    <w:semiHidden/>
    <w:rsid w:val="003F7D80"/>
    <w:rPr>
      <w:rFonts w:ascii="Tahoma" w:eastAsia="Times New Roman" w:hAnsi="Tahoma" w:cs="Tahoma"/>
      <w:sz w:val="16"/>
      <w:szCs w:val="16"/>
      <w:lang w:bidi="en-US"/>
    </w:rPr>
  </w:style>
  <w:style w:type="character" w:styleId="Hyperlink">
    <w:name w:val="Hyperlink"/>
    <w:semiHidden/>
    <w:rsid w:val="00DA6ABB"/>
    <w:rPr>
      <w:color w:val="0000FF"/>
      <w:u w:val="single"/>
    </w:rPr>
  </w:style>
  <w:style w:type="character" w:styleId="PlaceholderText">
    <w:name w:val="Placeholder Text"/>
    <w:uiPriority w:val="99"/>
    <w:semiHidden/>
    <w:rsid w:val="002E10F2"/>
    <w:rPr>
      <w:color w:val="808080"/>
    </w:rPr>
  </w:style>
  <w:style w:type="table" w:styleId="TableGrid">
    <w:name w:val="Table Grid"/>
    <w:basedOn w:val="TableNormal"/>
    <w:uiPriority w:val="59"/>
    <w:rsid w:val="0028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mporteerdestijl1">
    <w:name w:val="Geïmporteerde stijl 1"/>
    <w:rsid w:val="00E662A5"/>
    <w:pPr>
      <w:numPr>
        <w:numId w:val="5"/>
      </w:numPr>
    </w:pPr>
  </w:style>
  <w:style w:type="paragraph" w:customStyle="1" w:styleId="p3">
    <w:name w:val="p3"/>
    <w:basedOn w:val="Normal"/>
    <w:rsid w:val="00AD5F62"/>
    <w:pPr>
      <w:spacing w:after="0"/>
      <w:jc w:val="left"/>
    </w:pPr>
    <w:rPr>
      <w:rFonts w:ascii=".SF UI Text" w:hAnsi=".SF UI Text"/>
      <w:color w:val="454545"/>
      <w:sz w:val="26"/>
      <w:szCs w:val="26"/>
      <w:lang w:val="en-GB" w:eastAsia="en-GB" w:bidi="ar-SA"/>
    </w:rPr>
  </w:style>
  <w:style w:type="character" w:customStyle="1" w:styleId="s2">
    <w:name w:val="s2"/>
    <w:rsid w:val="00AD5F62"/>
    <w:rPr>
      <w:rFonts w:ascii=".SFUIText-Regular" w:hAnsi=".SFUIText-Regular" w:hint="default"/>
      <w:b w:val="0"/>
      <w:bCs w:val="0"/>
      <w:i w:val="0"/>
      <w:iCs w:val="0"/>
      <w:sz w:val="34"/>
      <w:szCs w:val="34"/>
    </w:rPr>
  </w:style>
  <w:style w:type="character" w:customStyle="1" w:styleId="s3">
    <w:name w:val="s3"/>
    <w:rsid w:val="00AD5F62"/>
    <w:rPr>
      <w:rFonts w:ascii=".SFUIText-Italic" w:hAnsi=".SFUIText-Italic" w:hint="default"/>
      <w:b w:val="0"/>
      <w:bCs w:val="0"/>
      <w:i/>
      <w:iCs/>
      <w:sz w:val="34"/>
      <w:szCs w:val="34"/>
    </w:rPr>
  </w:style>
  <w:style w:type="paragraph" w:customStyle="1" w:styleId="p2">
    <w:name w:val="p2"/>
    <w:basedOn w:val="Normal"/>
    <w:rsid w:val="00947FFD"/>
    <w:pPr>
      <w:spacing w:after="0"/>
      <w:jc w:val="left"/>
    </w:pPr>
    <w:rPr>
      <w:rFonts w:ascii=".SF UI Text" w:hAnsi=".SF UI Text"/>
      <w:color w:val="454545"/>
      <w:sz w:val="26"/>
      <w:szCs w:val="26"/>
      <w:lang w:val="en-GB" w:eastAsia="en-GB" w:bidi="ar-SA"/>
    </w:rPr>
  </w:style>
  <w:style w:type="paragraph" w:styleId="FootnoteText">
    <w:name w:val="footnote text"/>
    <w:basedOn w:val="Normal"/>
    <w:link w:val="FootnoteTextChar"/>
    <w:uiPriority w:val="99"/>
    <w:semiHidden/>
    <w:unhideWhenUsed/>
    <w:rsid w:val="00C46214"/>
    <w:pPr>
      <w:spacing w:after="0"/>
      <w:jc w:val="left"/>
    </w:pPr>
    <w:rPr>
      <w:sz w:val="20"/>
      <w:szCs w:val="20"/>
      <w:lang w:val="fr-BE" w:bidi="ar-SA"/>
    </w:rPr>
  </w:style>
  <w:style w:type="character" w:customStyle="1" w:styleId="FootnoteTextChar">
    <w:name w:val="Footnote Text Char"/>
    <w:link w:val="FootnoteText"/>
    <w:uiPriority w:val="99"/>
    <w:semiHidden/>
    <w:rsid w:val="00C46214"/>
    <w:rPr>
      <w:sz w:val="20"/>
      <w:szCs w:val="20"/>
      <w:lang w:val="fr-BE"/>
    </w:rPr>
  </w:style>
  <w:style w:type="character" w:styleId="FootnoteReference">
    <w:name w:val="footnote reference"/>
    <w:uiPriority w:val="99"/>
    <w:semiHidden/>
    <w:unhideWhenUsed/>
    <w:rsid w:val="00C46214"/>
    <w:rPr>
      <w:vertAlign w:val="superscript"/>
    </w:rPr>
  </w:style>
  <w:style w:type="paragraph" w:customStyle="1" w:styleId="Standard">
    <w:name w:val="Standard"/>
    <w:rsid w:val="00244B66"/>
    <w:pPr>
      <w:suppressAutoHyphens/>
      <w:autoSpaceDN w:val="0"/>
      <w:spacing w:after="120"/>
      <w:jc w:val="both"/>
      <w:textAlignment w:val="baseline"/>
    </w:pPr>
    <w:rPr>
      <w:rFonts w:eastAsia="SimSun" w:cs="F"/>
      <w:kern w:val="3"/>
      <w:sz w:val="24"/>
      <w:szCs w:val="22"/>
      <w:lang w:val="en-US" w:eastAsia="en-US" w:bidi="en-US"/>
    </w:rPr>
  </w:style>
  <w:style w:type="numbering" w:customStyle="1" w:styleId="Outline">
    <w:name w:val="Outline"/>
    <w:basedOn w:val="NoList"/>
    <w:rsid w:val="00244B66"/>
    <w:pPr>
      <w:numPr>
        <w:numId w:val="13"/>
      </w:numPr>
    </w:pPr>
  </w:style>
  <w:style w:type="character" w:styleId="CommentReference">
    <w:name w:val="annotation reference"/>
    <w:basedOn w:val="DefaultParagraphFont"/>
    <w:uiPriority w:val="99"/>
    <w:semiHidden/>
    <w:unhideWhenUsed/>
    <w:rsid w:val="00120793"/>
    <w:rPr>
      <w:sz w:val="16"/>
      <w:szCs w:val="16"/>
    </w:rPr>
  </w:style>
  <w:style w:type="paragraph" w:styleId="CommentText">
    <w:name w:val="annotation text"/>
    <w:basedOn w:val="Normal"/>
    <w:link w:val="CommentTextChar"/>
    <w:uiPriority w:val="99"/>
    <w:unhideWhenUsed/>
    <w:rsid w:val="00120793"/>
    <w:rPr>
      <w:sz w:val="20"/>
      <w:szCs w:val="20"/>
    </w:rPr>
  </w:style>
  <w:style w:type="character" w:customStyle="1" w:styleId="CommentTextChar">
    <w:name w:val="Comment Text Char"/>
    <w:basedOn w:val="DefaultParagraphFont"/>
    <w:link w:val="CommentText"/>
    <w:uiPriority w:val="99"/>
    <w:rsid w:val="00120793"/>
    <w:rPr>
      <w:lang w:val="en-US" w:eastAsia="en-US" w:bidi="en-US"/>
    </w:rPr>
  </w:style>
  <w:style w:type="paragraph" w:styleId="CommentSubject">
    <w:name w:val="annotation subject"/>
    <w:basedOn w:val="CommentText"/>
    <w:next w:val="CommentText"/>
    <w:link w:val="CommentSubjectChar"/>
    <w:uiPriority w:val="99"/>
    <w:semiHidden/>
    <w:unhideWhenUsed/>
    <w:rsid w:val="00120793"/>
    <w:rPr>
      <w:b/>
      <w:bCs/>
    </w:rPr>
  </w:style>
  <w:style w:type="character" w:customStyle="1" w:styleId="CommentSubjectChar">
    <w:name w:val="Comment Subject Char"/>
    <w:basedOn w:val="CommentTextChar"/>
    <w:link w:val="CommentSubject"/>
    <w:uiPriority w:val="99"/>
    <w:semiHidden/>
    <w:rsid w:val="00120793"/>
    <w:rPr>
      <w:b/>
      <w:bCs/>
      <w:lang w:val="en-US" w:eastAsia="en-US" w:bidi="en-US"/>
    </w:rPr>
  </w:style>
  <w:style w:type="paragraph" w:styleId="Revision">
    <w:name w:val="Revision"/>
    <w:hidden/>
    <w:uiPriority w:val="99"/>
    <w:semiHidden/>
    <w:rsid w:val="00C63C06"/>
    <w:rPr>
      <w:sz w:val="24"/>
      <w:szCs w:val="22"/>
      <w:lang w:val="en-US" w:eastAsia="en-US" w:bidi="en-US"/>
    </w:rPr>
  </w:style>
  <w:style w:type="character" w:customStyle="1" w:styleId="cf01">
    <w:name w:val="cf01"/>
    <w:basedOn w:val="DefaultParagraphFont"/>
    <w:rsid w:val="00BD55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01">
      <w:bodyDiv w:val="1"/>
      <w:marLeft w:val="0"/>
      <w:marRight w:val="0"/>
      <w:marTop w:val="0"/>
      <w:marBottom w:val="0"/>
      <w:divBdr>
        <w:top w:val="none" w:sz="0" w:space="0" w:color="auto"/>
        <w:left w:val="none" w:sz="0" w:space="0" w:color="auto"/>
        <w:bottom w:val="none" w:sz="0" w:space="0" w:color="auto"/>
        <w:right w:val="none" w:sz="0" w:space="0" w:color="auto"/>
      </w:divBdr>
      <w:divsChild>
        <w:div w:id="678626734">
          <w:marLeft w:val="0"/>
          <w:marRight w:val="0"/>
          <w:marTop w:val="0"/>
          <w:marBottom w:val="0"/>
          <w:divBdr>
            <w:top w:val="none" w:sz="0" w:space="0" w:color="auto"/>
            <w:left w:val="none" w:sz="0" w:space="0" w:color="auto"/>
            <w:bottom w:val="none" w:sz="0" w:space="0" w:color="auto"/>
            <w:right w:val="none" w:sz="0" w:space="0" w:color="auto"/>
          </w:divBdr>
        </w:div>
      </w:divsChild>
    </w:div>
    <w:div w:id="92559368">
      <w:bodyDiv w:val="1"/>
      <w:marLeft w:val="0"/>
      <w:marRight w:val="0"/>
      <w:marTop w:val="0"/>
      <w:marBottom w:val="0"/>
      <w:divBdr>
        <w:top w:val="none" w:sz="0" w:space="0" w:color="auto"/>
        <w:left w:val="none" w:sz="0" w:space="0" w:color="auto"/>
        <w:bottom w:val="none" w:sz="0" w:space="0" w:color="auto"/>
        <w:right w:val="none" w:sz="0" w:space="0" w:color="auto"/>
      </w:divBdr>
      <w:divsChild>
        <w:div w:id="1471364514">
          <w:marLeft w:val="0"/>
          <w:marRight w:val="0"/>
          <w:marTop w:val="0"/>
          <w:marBottom w:val="0"/>
          <w:divBdr>
            <w:top w:val="none" w:sz="0" w:space="0" w:color="auto"/>
            <w:left w:val="none" w:sz="0" w:space="0" w:color="auto"/>
            <w:bottom w:val="none" w:sz="0" w:space="0" w:color="auto"/>
            <w:right w:val="none" w:sz="0" w:space="0" w:color="auto"/>
          </w:divBdr>
        </w:div>
      </w:divsChild>
    </w:div>
    <w:div w:id="296642962">
      <w:bodyDiv w:val="1"/>
      <w:marLeft w:val="0"/>
      <w:marRight w:val="0"/>
      <w:marTop w:val="0"/>
      <w:marBottom w:val="0"/>
      <w:divBdr>
        <w:top w:val="none" w:sz="0" w:space="0" w:color="auto"/>
        <w:left w:val="none" w:sz="0" w:space="0" w:color="auto"/>
        <w:bottom w:val="none" w:sz="0" w:space="0" w:color="auto"/>
        <w:right w:val="none" w:sz="0" w:space="0" w:color="auto"/>
      </w:divBdr>
      <w:divsChild>
        <w:div w:id="1568220346">
          <w:marLeft w:val="0"/>
          <w:marRight w:val="0"/>
          <w:marTop w:val="0"/>
          <w:marBottom w:val="0"/>
          <w:divBdr>
            <w:top w:val="none" w:sz="0" w:space="0" w:color="auto"/>
            <w:left w:val="none" w:sz="0" w:space="0" w:color="auto"/>
            <w:bottom w:val="none" w:sz="0" w:space="0" w:color="auto"/>
            <w:right w:val="none" w:sz="0" w:space="0" w:color="auto"/>
          </w:divBdr>
        </w:div>
      </w:divsChild>
    </w:div>
    <w:div w:id="327178130">
      <w:bodyDiv w:val="1"/>
      <w:marLeft w:val="0"/>
      <w:marRight w:val="0"/>
      <w:marTop w:val="0"/>
      <w:marBottom w:val="0"/>
      <w:divBdr>
        <w:top w:val="none" w:sz="0" w:space="0" w:color="auto"/>
        <w:left w:val="none" w:sz="0" w:space="0" w:color="auto"/>
        <w:bottom w:val="none" w:sz="0" w:space="0" w:color="auto"/>
        <w:right w:val="none" w:sz="0" w:space="0" w:color="auto"/>
      </w:divBdr>
      <w:divsChild>
        <w:div w:id="975986575">
          <w:marLeft w:val="0"/>
          <w:marRight w:val="0"/>
          <w:marTop w:val="0"/>
          <w:marBottom w:val="0"/>
          <w:divBdr>
            <w:top w:val="none" w:sz="0" w:space="0" w:color="auto"/>
            <w:left w:val="none" w:sz="0" w:space="0" w:color="auto"/>
            <w:bottom w:val="none" w:sz="0" w:space="0" w:color="auto"/>
            <w:right w:val="none" w:sz="0" w:space="0" w:color="auto"/>
          </w:divBdr>
        </w:div>
      </w:divsChild>
    </w:div>
    <w:div w:id="573858582">
      <w:bodyDiv w:val="1"/>
      <w:marLeft w:val="0"/>
      <w:marRight w:val="0"/>
      <w:marTop w:val="0"/>
      <w:marBottom w:val="0"/>
      <w:divBdr>
        <w:top w:val="none" w:sz="0" w:space="0" w:color="auto"/>
        <w:left w:val="none" w:sz="0" w:space="0" w:color="auto"/>
        <w:bottom w:val="none" w:sz="0" w:space="0" w:color="auto"/>
        <w:right w:val="none" w:sz="0" w:space="0" w:color="auto"/>
      </w:divBdr>
    </w:div>
    <w:div w:id="918101440">
      <w:bodyDiv w:val="1"/>
      <w:marLeft w:val="0"/>
      <w:marRight w:val="0"/>
      <w:marTop w:val="0"/>
      <w:marBottom w:val="0"/>
      <w:divBdr>
        <w:top w:val="none" w:sz="0" w:space="0" w:color="auto"/>
        <w:left w:val="none" w:sz="0" w:space="0" w:color="auto"/>
        <w:bottom w:val="none" w:sz="0" w:space="0" w:color="auto"/>
        <w:right w:val="none" w:sz="0" w:space="0" w:color="auto"/>
      </w:divBdr>
    </w:div>
    <w:div w:id="1407873056">
      <w:bodyDiv w:val="1"/>
      <w:marLeft w:val="0"/>
      <w:marRight w:val="0"/>
      <w:marTop w:val="0"/>
      <w:marBottom w:val="0"/>
      <w:divBdr>
        <w:top w:val="none" w:sz="0" w:space="0" w:color="auto"/>
        <w:left w:val="none" w:sz="0" w:space="0" w:color="auto"/>
        <w:bottom w:val="none" w:sz="0" w:space="0" w:color="auto"/>
        <w:right w:val="none" w:sz="0" w:space="0" w:color="auto"/>
      </w:divBdr>
    </w:div>
    <w:div w:id="1655600767">
      <w:bodyDiv w:val="1"/>
      <w:marLeft w:val="0"/>
      <w:marRight w:val="0"/>
      <w:marTop w:val="0"/>
      <w:marBottom w:val="0"/>
      <w:divBdr>
        <w:top w:val="none" w:sz="0" w:space="0" w:color="auto"/>
        <w:left w:val="none" w:sz="0" w:space="0" w:color="auto"/>
        <w:bottom w:val="none" w:sz="0" w:space="0" w:color="auto"/>
        <w:right w:val="none" w:sz="0" w:space="0" w:color="auto"/>
      </w:divBdr>
      <w:divsChild>
        <w:div w:id="159393502">
          <w:marLeft w:val="0"/>
          <w:marRight w:val="0"/>
          <w:marTop w:val="0"/>
          <w:marBottom w:val="0"/>
          <w:divBdr>
            <w:top w:val="none" w:sz="0" w:space="0" w:color="auto"/>
            <w:left w:val="none" w:sz="0" w:space="0" w:color="auto"/>
            <w:bottom w:val="none" w:sz="0" w:space="0" w:color="auto"/>
            <w:right w:val="none" w:sz="0" w:space="0" w:color="auto"/>
          </w:divBdr>
        </w:div>
        <w:div w:id="236867805">
          <w:marLeft w:val="0"/>
          <w:marRight w:val="0"/>
          <w:marTop w:val="0"/>
          <w:marBottom w:val="0"/>
          <w:divBdr>
            <w:top w:val="none" w:sz="0" w:space="0" w:color="auto"/>
            <w:left w:val="none" w:sz="0" w:space="0" w:color="auto"/>
            <w:bottom w:val="none" w:sz="0" w:space="0" w:color="auto"/>
            <w:right w:val="none" w:sz="0" w:space="0" w:color="auto"/>
          </w:divBdr>
        </w:div>
        <w:div w:id="403526986">
          <w:marLeft w:val="0"/>
          <w:marRight w:val="0"/>
          <w:marTop w:val="0"/>
          <w:marBottom w:val="0"/>
          <w:divBdr>
            <w:top w:val="none" w:sz="0" w:space="0" w:color="auto"/>
            <w:left w:val="none" w:sz="0" w:space="0" w:color="auto"/>
            <w:bottom w:val="none" w:sz="0" w:space="0" w:color="auto"/>
            <w:right w:val="none" w:sz="0" w:space="0" w:color="auto"/>
          </w:divBdr>
        </w:div>
        <w:div w:id="486632330">
          <w:marLeft w:val="0"/>
          <w:marRight w:val="0"/>
          <w:marTop w:val="0"/>
          <w:marBottom w:val="0"/>
          <w:divBdr>
            <w:top w:val="none" w:sz="0" w:space="0" w:color="auto"/>
            <w:left w:val="none" w:sz="0" w:space="0" w:color="auto"/>
            <w:bottom w:val="none" w:sz="0" w:space="0" w:color="auto"/>
            <w:right w:val="none" w:sz="0" w:space="0" w:color="auto"/>
          </w:divBdr>
        </w:div>
        <w:div w:id="530997770">
          <w:marLeft w:val="0"/>
          <w:marRight w:val="0"/>
          <w:marTop w:val="0"/>
          <w:marBottom w:val="0"/>
          <w:divBdr>
            <w:top w:val="none" w:sz="0" w:space="0" w:color="auto"/>
            <w:left w:val="none" w:sz="0" w:space="0" w:color="auto"/>
            <w:bottom w:val="none" w:sz="0" w:space="0" w:color="auto"/>
            <w:right w:val="none" w:sz="0" w:space="0" w:color="auto"/>
          </w:divBdr>
        </w:div>
        <w:div w:id="555972517">
          <w:marLeft w:val="0"/>
          <w:marRight w:val="0"/>
          <w:marTop w:val="0"/>
          <w:marBottom w:val="0"/>
          <w:divBdr>
            <w:top w:val="none" w:sz="0" w:space="0" w:color="auto"/>
            <w:left w:val="none" w:sz="0" w:space="0" w:color="auto"/>
            <w:bottom w:val="none" w:sz="0" w:space="0" w:color="auto"/>
            <w:right w:val="none" w:sz="0" w:space="0" w:color="auto"/>
          </w:divBdr>
        </w:div>
        <w:div w:id="628361432">
          <w:marLeft w:val="0"/>
          <w:marRight w:val="0"/>
          <w:marTop w:val="0"/>
          <w:marBottom w:val="0"/>
          <w:divBdr>
            <w:top w:val="none" w:sz="0" w:space="0" w:color="auto"/>
            <w:left w:val="none" w:sz="0" w:space="0" w:color="auto"/>
            <w:bottom w:val="none" w:sz="0" w:space="0" w:color="auto"/>
            <w:right w:val="none" w:sz="0" w:space="0" w:color="auto"/>
          </w:divBdr>
        </w:div>
        <w:div w:id="882408089">
          <w:marLeft w:val="0"/>
          <w:marRight w:val="0"/>
          <w:marTop w:val="0"/>
          <w:marBottom w:val="0"/>
          <w:divBdr>
            <w:top w:val="none" w:sz="0" w:space="0" w:color="auto"/>
            <w:left w:val="none" w:sz="0" w:space="0" w:color="auto"/>
            <w:bottom w:val="none" w:sz="0" w:space="0" w:color="auto"/>
            <w:right w:val="none" w:sz="0" w:space="0" w:color="auto"/>
          </w:divBdr>
        </w:div>
        <w:div w:id="923102597">
          <w:marLeft w:val="0"/>
          <w:marRight w:val="0"/>
          <w:marTop w:val="0"/>
          <w:marBottom w:val="0"/>
          <w:divBdr>
            <w:top w:val="none" w:sz="0" w:space="0" w:color="auto"/>
            <w:left w:val="none" w:sz="0" w:space="0" w:color="auto"/>
            <w:bottom w:val="none" w:sz="0" w:space="0" w:color="auto"/>
            <w:right w:val="none" w:sz="0" w:space="0" w:color="auto"/>
          </w:divBdr>
        </w:div>
        <w:div w:id="1011223704">
          <w:marLeft w:val="0"/>
          <w:marRight w:val="0"/>
          <w:marTop w:val="0"/>
          <w:marBottom w:val="0"/>
          <w:divBdr>
            <w:top w:val="none" w:sz="0" w:space="0" w:color="auto"/>
            <w:left w:val="none" w:sz="0" w:space="0" w:color="auto"/>
            <w:bottom w:val="none" w:sz="0" w:space="0" w:color="auto"/>
            <w:right w:val="none" w:sz="0" w:space="0" w:color="auto"/>
          </w:divBdr>
        </w:div>
        <w:div w:id="1062872950">
          <w:marLeft w:val="0"/>
          <w:marRight w:val="0"/>
          <w:marTop w:val="0"/>
          <w:marBottom w:val="0"/>
          <w:divBdr>
            <w:top w:val="none" w:sz="0" w:space="0" w:color="auto"/>
            <w:left w:val="none" w:sz="0" w:space="0" w:color="auto"/>
            <w:bottom w:val="none" w:sz="0" w:space="0" w:color="auto"/>
            <w:right w:val="none" w:sz="0" w:space="0" w:color="auto"/>
          </w:divBdr>
        </w:div>
        <w:div w:id="1069110856">
          <w:marLeft w:val="0"/>
          <w:marRight w:val="0"/>
          <w:marTop w:val="0"/>
          <w:marBottom w:val="0"/>
          <w:divBdr>
            <w:top w:val="none" w:sz="0" w:space="0" w:color="auto"/>
            <w:left w:val="none" w:sz="0" w:space="0" w:color="auto"/>
            <w:bottom w:val="none" w:sz="0" w:space="0" w:color="auto"/>
            <w:right w:val="none" w:sz="0" w:space="0" w:color="auto"/>
          </w:divBdr>
        </w:div>
        <w:div w:id="1102263410">
          <w:marLeft w:val="0"/>
          <w:marRight w:val="0"/>
          <w:marTop w:val="0"/>
          <w:marBottom w:val="0"/>
          <w:divBdr>
            <w:top w:val="none" w:sz="0" w:space="0" w:color="auto"/>
            <w:left w:val="none" w:sz="0" w:space="0" w:color="auto"/>
            <w:bottom w:val="none" w:sz="0" w:space="0" w:color="auto"/>
            <w:right w:val="none" w:sz="0" w:space="0" w:color="auto"/>
          </w:divBdr>
        </w:div>
        <w:div w:id="1614750381">
          <w:marLeft w:val="0"/>
          <w:marRight w:val="0"/>
          <w:marTop w:val="0"/>
          <w:marBottom w:val="0"/>
          <w:divBdr>
            <w:top w:val="none" w:sz="0" w:space="0" w:color="auto"/>
            <w:left w:val="none" w:sz="0" w:space="0" w:color="auto"/>
            <w:bottom w:val="none" w:sz="0" w:space="0" w:color="auto"/>
            <w:right w:val="none" w:sz="0" w:space="0" w:color="auto"/>
          </w:divBdr>
        </w:div>
        <w:div w:id="1660890349">
          <w:marLeft w:val="0"/>
          <w:marRight w:val="0"/>
          <w:marTop w:val="0"/>
          <w:marBottom w:val="0"/>
          <w:divBdr>
            <w:top w:val="none" w:sz="0" w:space="0" w:color="auto"/>
            <w:left w:val="none" w:sz="0" w:space="0" w:color="auto"/>
            <w:bottom w:val="none" w:sz="0" w:space="0" w:color="auto"/>
            <w:right w:val="none" w:sz="0" w:space="0" w:color="auto"/>
          </w:divBdr>
        </w:div>
      </w:divsChild>
    </w:div>
    <w:div w:id="16638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pplication%20Data\Microsoft\Templates\COM\Circul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155fa7-6b1c-4b28-b663-babee6d2d5ab" xsi:nil="true"/>
    <lcf76f155ced4ddcb4097134ff3c332f xmlns="11a8a30b-1d4a-4b95-89da-1c116dbb43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6568EBDA3934F8515EE295208A5A7" ma:contentTypeVersion="15" ma:contentTypeDescription="Create a new document." ma:contentTypeScope="" ma:versionID="14410d2b581676926e82f77c00ce78e9">
  <xsd:schema xmlns:xsd="http://www.w3.org/2001/XMLSchema" xmlns:xs="http://www.w3.org/2001/XMLSchema" xmlns:p="http://schemas.microsoft.com/office/2006/metadata/properties" xmlns:ns2="11a8a30b-1d4a-4b95-89da-1c116dbb433a" xmlns:ns3="79155fa7-6b1c-4b28-b663-babee6d2d5ab" targetNamespace="http://schemas.microsoft.com/office/2006/metadata/properties" ma:root="true" ma:fieldsID="f172df23adf0d0fb5089575e709d3d27" ns2:_="" ns3:_="">
    <xsd:import namespace="11a8a30b-1d4a-4b95-89da-1c116dbb433a"/>
    <xsd:import namespace="79155fa7-6b1c-4b28-b663-babee6d2d5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8a30b-1d4a-4b95-89da-1c116dbb4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9d457c-a4f1-485d-82b3-c8ab35e70c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55fa7-6b1c-4b28-b663-babee6d2d5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fc5c10-f841-45ea-aa50-9ef5f9fd19a3}" ma:internalName="TaxCatchAll" ma:showField="CatchAllData" ma:web="79155fa7-6b1c-4b28-b663-babee6d2d5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D480-D698-43DC-8AB6-84478CB1943E}">
  <ds:schemaRefs>
    <ds:schemaRef ds:uri="http://schemas.microsoft.com/office/2006/metadata/properties"/>
    <ds:schemaRef ds:uri="http://schemas.microsoft.com/office/infopath/2007/PartnerControls"/>
    <ds:schemaRef ds:uri="79155fa7-6b1c-4b28-b663-babee6d2d5ab"/>
    <ds:schemaRef ds:uri="11a8a30b-1d4a-4b95-89da-1c116dbb433a"/>
  </ds:schemaRefs>
</ds:datastoreItem>
</file>

<file path=customXml/itemProps2.xml><?xml version="1.0" encoding="utf-8"?>
<ds:datastoreItem xmlns:ds="http://schemas.openxmlformats.org/officeDocument/2006/customXml" ds:itemID="{0CF4EDB7-A943-413C-AEA5-D527FC6B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8a30b-1d4a-4b95-89da-1c116dbb433a"/>
    <ds:schemaRef ds:uri="79155fa7-6b1c-4b28-b663-babee6d2d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DF262-1385-4C5B-9B10-04B135BA0FBA}">
  <ds:schemaRefs>
    <ds:schemaRef ds:uri="http://schemas.microsoft.com/sharepoint/v3/contenttype/forms"/>
  </ds:schemaRefs>
</ds:datastoreItem>
</file>

<file path=customXml/itemProps4.xml><?xml version="1.0" encoding="utf-8"?>
<ds:datastoreItem xmlns:ds="http://schemas.openxmlformats.org/officeDocument/2006/customXml" ds:itemID="{9FFE635E-DF68-4187-99B5-3A7B8194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Circulaire.dotx</Template>
  <TotalTime>4</TotalTime>
  <Pages>5</Pages>
  <Words>2457</Words>
  <Characters>13516</Characters>
  <Application>Microsoft Office Word</Application>
  <DocSecurity>4</DocSecurity>
  <Lines>112</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Circulaire</vt:lpstr>
      <vt:lpstr>Circulaire</vt:lpstr>
      <vt:lpstr>Circulaire</vt:lpstr>
    </vt:vector>
  </TitlesOfParts>
  <Company>Belgian Senate</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subject/>
  <dc:creator>Gisele Raes</dc:creator>
  <cp:keywords/>
  <cp:lastModifiedBy>Gisele Stevens</cp:lastModifiedBy>
  <cp:revision>2</cp:revision>
  <cp:lastPrinted>2025-02-26T13:01:00Z</cp:lastPrinted>
  <dcterms:created xsi:type="dcterms:W3CDTF">2025-03-11T14:41:00Z</dcterms:created>
  <dcterms:modified xsi:type="dcterms:W3CDTF">2025-03-11T14:41:00Z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0x010100E286568EBDA3934F8515EE295208A5A7</vt:lpwstr>
  </property>
  <property fmtid="{D5CDD505-2E9C-101B-9397-08002B2CF9AE}" pid="3" name="MediaServiceImageTags">
    <vt:lpwstr/>
  </property>
</Properties>
</file>